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D3" w:rsidRDefault="00030AD3" w:rsidP="00A549B2">
      <w:pPr>
        <w:spacing w:after="240" w:line="120" w:lineRule="atLeast"/>
        <w:ind w:left="357"/>
        <w:jc w:val="center"/>
        <w:outlineLvl w:val="0"/>
        <w:rPr>
          <w:b/>
          <w:sz w:val="28"/>
          <w:szCs w:val="28"/>
        </w:rPr>
      </w:pPr>
      <w:r>
        <w:rPr>
          <w:b/>
          <w:sz w:val="28"/>
          <w:szCs w:val="28"/>
        </w:rPr>
        <w:t xml:space="preserve">Einleitung </w:t>
      </w:r>
    </w:p>
    <w:p w:rsidR="00030AD3" w:rsidRPr="006E665E" w:rsidRDefault="00030AD3" w:rsidP="00EE6441">
      <w:pPr>
        <w:spacing w:after="240" w:line="120" w:lineRule="atLeast"/>
        <w:ind w:left="357"/>
        <w:jc w:val="center"/>
        <w:rPr>
          <w:b/>
          <w:sz w:val="28"/>
          <w:szCs w:val="28"/>
        </w:rPr>
      </w:pPr>
      <w:r>
        <w:rPr>
          <w:b/>
          <w:sz w:val="28"/>
          <w:szCs w:val="28"/>
        </w:rPr>
        <w:t>zur 8</w:t>
      </w:r>
      <w:r w:rsidRPr="006E665E">
        <w:rPr>
          <w:b/>
          <w:sz w:val="28"/>
          <w:szCs w:val="28"/>
        </w:rPr>
        <w:t>. Innsbrucker Tagung: ‚Lebend(ig)e Rechtsgeschichte’ 201</w:t>
      </w:r>
      <w:r>
        <w:rPr>
          <w:b/>
          <w:sz w:val="28"/>
          <w:szCs w:val="28"/>
        </w:rPr>
        <w:t>5</w:t>
      </w:r>
    </w:p>
    <w:p w:rsidR="00030AD3" w:rsidRDefault="00030AD3" w:rsidP="00EE6441">
      <w:pPr>
        <w:jc w:val="center"/>
        <w:rPr>
          <w:b/>
          <w:sz w:val="28"/>
          <w:szCs w:val="28"/>
        </w:rPr>
      </w:pPr>
      <w:r>
        <w:rPr>
          <w:b/>
          <w:sz w:val="28"/>
          <w:szCs w:val="28"/>
        </w:rPr>
        <w:t xml:space="preserve">‚Emergenz der Person </w:t>
      </w:r>
      <w:r w:rsidRPr="005210FC">
        <w:rPr>
          <w:b/>
          <w:sz w:val="28"/>
          <w:szCs w:val="28"/>
        </w:rPr>
        <w:t>–</w:t>
      </w:r>
      <w:r>
        <w:rPr>
          <w:b/>
          <w:sz w:val="28"/>
          <w:szCs w:val="28"/>
        </w:rPr>
        <w:t xml:space="preserve"> Entstehung und Entwicklung des Subjekts in Gesellschaft und Recht der antiken Welten’</w:t>
      </w:r>
      <w:r w:rsidRPr="005210FC">
        <w:rPr>
          <w:b/>
          <w:sz w:val="28"/>
          <w:szCs w:val="28"/>
        </w:rPr>
        <w:t xml:space="preserve"> </w:t>
      </w:r>
    </w:p>
    <w:p w:rsidR="00030AD3" w:rsidRPr="005210FC" w:rsidRDefault="00030AD3" w:rsidP="00EE6441">
      <w:pPr>
        <w:jc w:val="center"/>
        <w:rPr>
          <w:b/>
          <w:sz w:val="28"/>
          <w:szCs w:val="28"/>
        </w:rPr>
      </w:pPr>
    </w:p>
    <w:p w:rsidR="00030AD3" w:rsidRDefault="00030AD3" w:rsidP="00EE6441">
      <w:pPr>
        <w:jc w:val="center"/>
        <w:rPr>
          <w:b/>
          <w:bCs/>
        </w:rPr>
      </w:pPr>
    </w:p>
    <w:p w:rsidR="00030AD3" w:rsidRDefault="00030AD3" w:rsidP="00EE6441">
      <w:pPr>
        <w:jc w:val="center"/>
        <w:rPr>
          <w:b/>
          <w:bCs/>
        </w:rPr>
      </w:pPr>
      <w:r>
        <w:rPr>
          <w:b/>
          <w:bCs/>
        </w:rPr>
        <w:t>Mittwoch, 9., bis Donnerstag, 10. Dezember 2015</w:t>
      </w:r>
    </w:p>
    <w:p w:rsidR="00030AD3" w:rsidRDefault="00030AD3" w:rsidP="00EE6441">
      <w:pPr>
        <w:jc w:val="center"/>
        <w:rPr>
          <w:b/>
          <w:bCs/>
        </w:rPr>
      </w:pPr>
    </w:p>
    <w:p w:rsidR="00030AD3" w:rsidRDefault="00030AD3" w:rsidP="00185391">
      <w:pPr>
        <w:pStyle w:val="Listenabsatz"/>
        <w:ind w:left="4253"/>
        <w:rPr>
          <w:sz w:val="20"/>
          <w:szCs w:val="20"/>
        </w:rPr>
      </w:pPr>
      <w:r w:rsidRPr="006E3500">
        <w:rPr>
          <w:sz w:val="20"/>
          <w:szCs w:val="20"/>
        </w:rPr>
        <w:t>„</w:t>
      </w:r>
      <w:r w:rsidRPr="00C574BC">
        <w:rPr>
          <w:sz w:val="20"/>
          <w:szCs w:val="20"/>
        </w:rPr>
        <w:t>Die Geschichte des Individuums, selbst im alten Griechenland, das nicht nur den Begriff der Individualität hervorbrachte, sondern auch die Muster für die abend</w:t>
      </w:r>
      <w:r>
        <w:rPr>
          <w:sz w:val="20"/>
          <w:szCs w:val="20"/>
        </w:rPr>
        <w:softHyphen/>
      </w:r>
      <w:r w:rsidRPr="00C574BC">
        <w:rPr>
          <w:sz w:val="20"/>
          <w:szCs w:val="20"/>
        </w:rPr>
        <w:t>län</w:t>
      </w:r>
      <w:r>
        <w:rPr>
          <w:sz w:val="20"/>
          <w:szCs w:val="20"/>
        </w:rPr>
        <w:softHyphen/>
      </w:r>
      <w:r w:rsidRPr="00C574BC">
        <w:rPr>
          <w:sz w:val="20"/>
          <w:szCs w:val="20"/>
        </w:rPr>
        <w:t>dische Kultur abgab, ist noch weitgehend ungeschrieben.</w:t>
      </w:r>
      <w:r>
        <w:rPr>
          <w:sz w:val="20"/>
          <w:szCs w:val="20"/>
        </w:rPr>
        <w:t>“</w:t>
      </w:r>
    </w:p>
    <w:p w:rsidR="001578A3" w:rsidRDefault="001578A3" w:rsidP="00185391">
      <w:pPr>
        <w:pStyle w:val="Listenabsatz"/>
        <w:ind w:left="5245"/>
        <w:jc w:val="right"/>
        <w:rPr>
          <w:sz w:val="20"/>
          <w:szCs w:val="20"/>
        </w:rPr>
      </w:pPr>
    </w:p>
    <w:p w:rsidR="00030AD3" w:rsidRPr="00C574BC" w:rsidRDefault="00030AD3" w:rsidP="00185391">
      <w:pPr>
        <w:pStyle w:val="Listenabsatz"/>
        <w:ind w:left="5245"/>
        <w:jc w:val="right"/>
        <w:rPr>
          <w:sz w:val="20"/>
          <w:szCs w:val="20"/>
        </w:rPr>
      </w:pPr>
      <w:r w:rsidRPr="00C574BC">
        <w:rPr>
          <w:sz w:val="20"/>
          <w:szCs w:val="20"/>
        </w:rPr>
        <w:t>Max Horkheimer</w:t>
      </w:r>
      <w:r>
        <w:rPr>
          <w:sz w:val="20"/>
          <w:szCs w:val="20"/>
        </w:rPr>
        <w:t xml:space="preserve">, </w:t>
      </w:r>
      <w:r w:rsidRPr="005C695A">
        <w:rPr>
          <w:sz w:val="20"/>
          <w:szCs w:val="20"/>
          <w:lang w:val="de-DE"/>
        </w:rPr>
        <w:t>Aufstieg und Niedergang des Individuums</w:t>
      </w:r>
      <w:r>
        <w:rPr>
          <w:sz w:val="20"/>
          <w:szCs w:val="20"/>
        </w:rPr>
        <w:t xml:space="preserve"> (1947/1985) </w:t>
      </w:r>
    </w:p>
    <w:p w:rsidR="00030AD3" w:rsidRDefault="00030AD3" w:rsidP="00142A4B"/>
    <w:p w:rsidR="00030AD3" w:rsidRDefault="00030AD3" w:rsidP="00142A4B"/>
    <w:p w:rsidR="00030AD3" w:rsidRDefault="00030AD3" w:rsidP="00B052B5">
      <w:r w:rsidRPr="004218CD">
        <w:rPr>
          <w:b/>
        </w:rPr>
        <w:t>Übersicht</w:t>
      </w:r>
      <w:r>
        <w:t>:</w:t>
      </w:r>
    </w:p>
    <w:p w:rsidR="00030AD3" w:rsidRDefault="00030AD3" w:rsidP="00B052B5"/>
    <w:p w:rsidR="00030AD3" w:rsidRDefault="00030AD3" w:rsidP="004218CD">
      <w:pPr>
        <w:numPr>
          <w:ilvl w:val="0"/>
          <w:numId w:val="15"/>
        </w:numPr>
      </w:pPr>
      <w:r>
        <w:t>Begrüßung und Dank</w:t>
      </w:r>
    </w:p>
    <w:p w:rsidR="00030AD3" w:rsidRDefault="00030AD3" w:rsidP="004218CD">
      <w:pPr>
        <w:numPr>
          <w:ilvl w:val="0"/>
          <w:numId w:val="15"/>
        </w:numPr>
      </w:pPr>
      <w:r>
        <w:t>Zum Tagungsablauf</w:t>
      </w:r>
    </w:p>
    <w:p w:rsidR="00030AD3" w:rsidRDefault="001578A3" w:rsidP="004218CD">
      <w:pPr>
        <w:numPr>
          <w:ilvl w:val="0"/>
          <w:numId w:val="15"/>
        </w:numPr>
      </w:pPr>
      <w:r>
        <w:t>Z</w:t>
      </w:r>
      <w:r w:rsidR="00030AD3">
        <w:t>um T</w:t>
      </w:r>
      <w:r>
        <w:t>agungst</w:t>
      </w:r>
      <w:r w:rsidR="00030AD3">
        <w:t>hema</w:t>
      </w:r>
    </w:p>
    <w:p w:rsidR="00030AD3" w:rsidRDefault="00030AD3" w:rsidP="004218CD">
      <w:pPr>
        <w:numPr>
          <w:ilvl w:val="0"/>
          <w:numId w:val="15"/>
        </w:numPr>
      </w:pPr>
      <w:r>
        <w:t>Zur griechischen Entwicklung</w:t>
      </w:r>
    </w:p>
    <w:p w:rsidR="00030AD3" w:rsidRDefault="00030AD3" w:rsidP="00B052B5">
      <w:pPr>
        <w:numPr>
          <w:ilvl w:val="0"/>
          <w:numId w:val="15"/>
        </w:numPr>
      </w:pPr>
      <w:r>
        <w:t>Schluß</w:t>
      </w:r>
    </w:p>
    <w:p w:rsidR="00030AD3" w:rsidRPr="00B052B5" w:rsidRDefault="00030AD3" w:rsidP="00B052B5">
      <w:pPr>
        <w:rPr>
          <w:u w:val="single"/>
        </w:rPr>
      </w:pPr>
    </w:p>
    <w:p w:rsidR="00030AD3" w:rsidRDefault="00030AD3" w:rsidP="00B8717B">
      <w:pPr>
        <w:pStyle w:val="Listenabsatz"/>
        <w:ind w:left="360"/>
      </w:pPr>
    </w:p>
    <w:p w:rsidR="00030AD3" w:rsidRDefault="00030AD3" w:rsidP="00402D36">
      <w:pPr>
        <w:numPr>
          <w:ilvl w:val="0"/>
          <w:numId w:val="14"/>
        </w:numPr>
        <w:rPr>
          <w:b/>
          <w:bCs/>
        </w:rPr>
      </w:pPr>
      <w:r>
        <w:rPr>
          <w:b/>
          <w:bCs/>
        </w:rPr>
        <w:t>Begrüßung</w:t>
      </w:r>
    </w:p>
    <w:p w:rsidR="00030AD3" w:rsidRDefault="00030AD3" w:rsidP="00AA4C78">
      <w:pPr>
        <w:spacing w:after="240" w:line="120" w:lineRule="atLeast"/>
        <w:ind w:left="357"/>
      </w:pPr>
    </w:p>
    <w:p w:rsidR="00030AD3" w:rsidRDefault="00030AD3" w:rsidP="00AA4C78">
      <w:pPr>
        <w:spacing w:after="240" w:line="120" w:lineRule="atLeast"/>
        <w:ind w:left="357"/>
      </w:pPr>
      <w:r>
        <w:t xml:space="preserve">Ich </w:t>
      </w:r>
      <w:r w:rsidR="001578A3">
        <w:t>begrüße</w:t>
      </w:r>
      <w:r>
        <w:t xml:space="preserve"> Sie namens der Veranstalter herzlich zur </w:t>
      </w:r>
      <w:r w:rsidRPr="001578A3">
        <w:t>8. Innsbrucker</w:t>
      </w:r>
      <w:r>
        <w:t xml:space="preserve"> </w:t>
      </w:r>
      <w:r w:rsidRPr="001578A3">
        <w:t>Tagung</w:t>
      </w:r>
      <w:r>
        <w:t xml:space="preserve"> </w:t>
      </w:r>
      <w:r w:rsidRPr="00402D36">
        <w:t>‚L</w:t>
      </w:r>
      <w:r>
        <w:t xml:space="preserve">ebend(ig)e Rechtsgeschichte’. – Unser </w:t>
      </w:r>
      <w:r w:rsidRPr="001578A3">
        <w:t>Thema</w:t>
      </w:r>
      <w:r>
        <w:t xml:space="preserve"> lautet dieses Jahr: ‚</w:t>
      </w:r>
      <w:r w:rsidRPr="001578A3">
        <w:rPr>
          <w:i/>
        </w:rPr>
        <w:t>Emergenz der Person</w:t>
      </w:r>
      <w:r w:rsidRPr="00402D36">
        <w:t xml:space="preserve"> – </w:t>
      </w:r>
      <w:r w:rsidRPr="001578A3">
        <w:rPr>
          <w:i/>
        </w:rPr>
        <w:t>Entstehung</w:t>
      </w:r>
      <w:r w:rsidRPr="00402D36">
        <w:t xml:space="preserve"> </w:t>
      </w:r>
      <w:r w:rsidRPr="001578A3">
        <w:rPr>
          <w:i/>
        </w:rPr>
        <w:t>und Entwicklung des Subjekts in Gesellschaft und Recht der antiken Welten</w:t>
      </w:r>
      <w:r w:rsidRPr="00AC50B6">
        <w:t>’.</w:t>
      </w:r>
      <w:r w:rsidR="001578A3">
        <w:rPr>
          <w:rStyle w:val="Funotenzeichen"/>
        </w:rPr>
        <w:footnoteReference w:id="1"/>
      </w:r>
      <w:r w:rsidRPr="00AC50B6">
        <w:t xml:space="preserve"> </w:t>
      </w:r>
    </w:p>
    <w:p w:rsidR="00030AD3" w:rsidRDefault="00030AD3" w:rsidP="00AA4C78">
      <w:pPr>
        <w:spacing w:after="240" w:line="120" w:lineRule="atLeast"/>
        <w:ind w:left="357"/>
      </w:pPr>
      <w:r w:rsidRPr="00AC50B6">
        <w:t xml:space="preserve">Wir </w:t>
      </w:r>
      <w:r w:rsidR="001578A3">
        <w:t>(das sind Robert</w:t>
      </w:r>
      <w:r>
        <w:t xml:space="preserve"> Rollinger, M</w:t>
      </w:r>
      <w:r w:rsidR="001578A3">
        <w:t>artin Lang, Simone</w:t>
      </w:r>
      <w:r>
        <w:t xml:space="preserve"> Paganini und ich)</w:t>
      </w:r>
      <w:r w:rsidR="001578A3">
        <w:t xml:space="preserve"> </w:t>
      </w:r>
      <w:r w:rsidRPr="00AC50B6">
        <w:t>danken</w:t>
      </w:r>
      <w:r>
        <w:t xml:space="preserve"> allen </w:t>
      </w:r>
      <w:r w:rsidRPr="001578A3">
        <w:rPr>
          <w:i/>
        </w:rPr>
        <w:t>Vortragenden</w:t>
      </w:r>
      <w:r>
        <w:t xml:space="preserve"> dafür, dass sie bereit waren, an der Tagung teilzunehmen und begrüßen sie </w:t>
      </w:r>
      <w:r w:rsidR="001578A3">
        <w:t xml:space="preserve">alle </w:t>
      </w:r>
      <w:r>
        <w:t xml:space="preserve">herzlich. – Das sind (in der </w:t>
      </w:r>
      <w:r w:rsidRPr="001578A3">
        <w:rPr>
          <w:i/>
        </w:rPr>
        <w:t>Programmabfol</w:t>
      </w:r>
      <w:r w:rsidRPr="001578A3">
        <w:rPr>
          <w:i/>
        </w:rPr>
        <w:softHyphen/>
        <w:t>ge</w:t>
      </w:r>
      <w:r>
        <w:t xml:space="preserve">): </w:t>
      </w:r>
    </w:p>
    <w:p w:rsidR="00030AD3" w:rsidRDefault="00030AD3" w:rsidP="003731ED">
      <w:pPr>
        <w:numPr>
          <w:ilvl w:val="0"/>
          <w:numId w:val="16"/>
        </w:numPr>
        <w:spacing w:after="240" w:line="120" w:lineRule="atLeast"/>
      </w:pPr>
      <w:r>
        <w:t xml:space="preserve">Gebhard </w:t>
      </w:r>
      <w:r w:rsidRPr="001578A3">
        <w:rPr>
          <w:i/>
        </w:rPr>
        <w:t>Selz</w:t>
      </w:r>
      <w:r>
        <w:t xml:space="preserve"> aus Wien ist der erste Vortragende. Er nimmt zum ersten Mal an unserer Tagung teil und spricht über ‚Individualisierungsprozesse im frühen Mesopotamien.</w:t>
      </w:r>
      <w:r>
        <w:rPr>
          <w:rStyle w:val="Funotenzeichen"/>
        </w:rPr>
        <w:footnoteReference w:id="2"/>
      </w:r>
      <w:r>
        <w:t xml:space="preserve"> </w:t>
      </w:r>
    </w:p>
    <w:p w:rsidR="00030AD3" w:rsidRDefault="00030AD3" w:rsidP="003731ED">
      <w:pPr>
        <w:numPr>
          <w:ilvl w:val="0"/>
          <w:numId w:val="16"/>
        </w:numPr>
        <w:spacing w:after="240" w:line="120" w:lineRule="atLeast"/>
      </w:pPr>
      <w:r>
        <w:t xml:space="preserve">Orell </w:t>
      </w:r>
      <w:r w:rsidRPr="001578A3">
        <w:rPr>
          <w:i/>
        </w:rPr>
        <w:t>Witthuhn</w:t>
      </w:r>
      <w:r>
        <w:t xml:space="preserve"> kommt aus Göttingen (war 2011 schon einmal </w:t>
      </w:r>
      <w:r w:rsidR="001578A3">
        <w:t>bei unserer Tagung</w:t>
      </w:r>
      <w:r>
        <w:t xml:space="preserve">)  und wird dieses Mal über ‚Vorstellungen von Individuum in der altägyptischen Gesellschaft‘ sprechen. – Schon den beiden ersten Vorträgen können sie entnehmen, dass sie im Rahmen unserer Tagung etwas geboten bekommen, wovon sie sonst kaum </w:t>
      </w:r>
      <w:r>
        <w:lastRenderedPageBreak/>
        <w:t>etwas hören: Die Genese des Subjekts, der (Rechts)Person im frühen Mesopotamien und im Alten Ägyp</w:t>
      </w:r>
      <w:r>
        <w:softHyphen/>
        <w:t xml:space="preserve">ten! </w:t>
      </w:r>
    </w:p>
    <w:p w:rsidR="00030AD3" w:rsidRDefault="00030AD3" w:rsidP="003731ED">
      <w:pPr>
        <w:numPr>
          <w:ilvl w:val="0"/>
          <w:numId w:val="16"/>
        </w:numPr>
        <w:spacing w:after="240" w:line="120" w:lineRule="atLeast"/>
      </w:pPr>
      <w:r>
        <w:t xml:space="preserve">Reinhard </w:t>
      </w:r>
      <w:r w:rsidRPr="001578A3">
        <w:rPr>
          <w:i/>
        </w:rPr>
        <w:t>Achenbach</w:t>
      </w:r>
      <w:r>
        <w:t xml:space="preserve"> aus Münster/Westfalen ist das erste Mal bei uns und </w:t>
      </w:r>
      <w:r w:rsidR="00CF63A4">
        <w:t xml:space="preserve">spricht </w:t>
      </w:r>
      <w:r>
        <w:t>über ‚</w:t>
      </w:r>
      <w:r w:rsidRPr="001B148A">
        <w:rPr>
          <w:lang w:val="de-DE"/>
        </w:rPr>
        <w:t xml:space="preserve">Individuelle und gemeinschaftliche Verantwortung </w:t>
      </w:r>
      <w:r>
        <w:rPr>
          <w:lang w:val="de-DE"/>
        </w:rPr>
        <w:t>für die Reinheit des Heiligtums‘</w:t>
      </w:r>
      <w:r>
        <w:t>. – Sie können daraus entnehmen, dass der Begriff der ‚Individualisierung’</w:t>
      </w:r>
      <w:r w:rsidR="00CF63A4">
        <w:t xml:space="preserve"> und der Prozeß der ‚Emergenz der Person‘</w:t>
      </w:r>
      <w:r>
        <w:t xml:space="preserve"> neben dem </w:t>
      </w:r>
      <w:r w:rsidRPr="00CF63A4">
        <w:t>Menschen</w:t>
      </w:r>
      <w:r>
        <w:t xml:space="preserve"> als </w:t>
      </w:r>
      <w:r w:rsidR="00CF63A4">
        <w:t>‚</w:t>
      </w:r>
      <w:r w:rsidRPr="00CF63A4">
        <w:t>natürlicher</w:t>
      </w:r>
      <w:r w:rsidR="00CF63A4">
        <w:t>‘</w:t>
      </w:r>
      <w:r w:rsidRPr="00452465">
        <w:rPr>
          <w:b/>
        </w:rPr>
        <w:t xml:space="preserve"> </w:t>
      </w:r>
      <w:r w:rsidRPr="00CF63A4">
        <w:t>Person</w:t>
      </w:r>
      <w:r>
        <w:t xml:space="preserve">, auch die Entwicklung des </w:t>
      </w:r>
      <w:r w:rsidR="00CF63A4">
        <w:t xml:space="preserve">rechtlichen </w:t>
      </w:r>
      <w:r>
        <w:t>Kunstgebildes der ‚</w:t>
      </w:r>
      <w:r w:rsidR="00CF63A4" w:rsidRPr="00CF63A4">
        <w:t>j</w:t>
      </w:r>
      <w:r w:rsidRPr="00CF63A4">
        <w:t>uristischen</w:t>
      </w:r>
      <w:r w:rsidR="00CF63A4" w:rsidRPr="00CF63A4">
        <w:t>‘</w:t>
      </w:r>
      <w:r w:rsidRPr="00CF63A4">
        <w:t xml:space="preserve"> Person</w:t>
      </w:r>
      <w:r w:rsidR="00CF63A4">
        <w:rPr>
          <w:i/>
        </w:rPr>
        <w:t xml:space="preserve"> </w:t>
      </w:r>
      <w:r>
        <w:t>umfaßt!</w:t>
      </w:r>
      <w:r>
        <w:rPr>
          <w:rStyle w:val="Funotenzeichen"/>
        </w:rPr>
        <w:footnoteReference w:id="3"/>
      </w:r>
    </w:p>
    <w:p w:rsidR="00030AD3" w:rsidRDefault="00030AD3" w:rsidP="003731ED">
      <w:pPr>
        <w:numPr>
          <w:ilvl w:val="0"/>
          <w:numId w:val="16"/>
        </w:numPr>
        <w:spacing w:after="240" w:line="120" w:lineRule="atLeast"/>
      </w:pPr>
      <w:r>
        <w:t xml:space="preserve">Hans </w:t>
      </w:r>
      <w:r w:rsidRPr="001578A3">
        <w:rPr>
          <w:i/>
        </w:rPr>
        <w:t>Neumann</w:t>
      </w:r>
      <w:r>
        <w:t xml:space="preserve"> ebenfalls aus Münster hält heute den </w:t>
      </w:r>
      <w:r w:rsidRPr="00CF63A4">
        <w:t>Festvortrag</w:t>
      </w:r>
      <w:r>
        <w:t xml:space="preserve"> zum Thema ‚Sklaven und Frauen als Subjekte und Obje</w:t>
      </w:r>
      <w:r w:rsidR="00CF63A4">
        <w:t>kte im Recht des Alten Orients’</w:t>
      </w:r>
      <w:r>
        <w:t xml:space="preserve">; H. N.  zählt zum Stamm jener Wissenschaftler, die von Anfang an bei unseren Tagungen dabei waren, das erste Mal </w:t>
      </w:r>
      <w:r w:rsidR="00CF63A4">
        <w:t xml:space="preserve">bereits </w:t>
      </w:r>
      <w:r>
        <w:t xml:space="preserve">2004. – Damit endet der </w:t>
      </w:r>
      <w:r w:rsidR="00CF63A4">
        <w:t>erste Vortragst</w:t>
      </w:r>
      <w:r>
        <w:t>ag. – Auf die Preis</w:t>
      </w:r>
      <w:r>
        <w:softHyphen/>
        <w:t>verleihung komme ich noch zu sprechen!</w:t>
      </w:r>
    </w:p>
    <w:p w:rsidR="00030AD3" w:rsidRDefault="00030AD3" w:rsidP="003731ED">
      <w:pPr>
        <w:numPr>
          <w:ilvl w:val="0"/>
          <w:numId w:val="16"/>
        </w:numPr>
        <w:spacing w:after="240" w:line="120" w:lineRule="atLeast"/>
        <w:rPr>
          <w:bCs/>
        </w:rPr>
      </w:pPr>
      <w:r>
        <w:t xml:space="preserve">Mit Birgit </w:t>
      </w:r>
      <w:r w:rsidRPr="001578A3">
        <w:rPr>
          <w:i/>
        </w:rPr>
        <w:t>Christiansen</w:t>
      </w:r>
      <w:r>
        <w:t xml:space="preserve"> aus München beginnt der </w:t>
      </w:r>
      <w:r w:rsidR="00CF63A4" w:rsidRPr="00CF63A4">
        <w:t>zweite</w:t>
      </w:r>
      <w:r>
        <w:t xml:space="preserve"> Tag</w:t>
      </w:r>
      <w:r w:rsidR="00CF63A4">
        <w:t xml:space="preserve"> der Veranstaltung</w:t>
      </w:r>
      <w:r>
        <w:t>. – Frau Ch</w:t>
      </w:r>
      <w:r w:rsidR="00CF63A4">
        <w:t>ristiansen</w:t>
      </w:r>
      <w:r>
        <w:t xml:space="preserve"> ist das erste Mal </w:t>
      </w:r>
      <w:r w:rsidR="00CF63A4">
        <w:t xml:space="preserve">bei uns </w:t>
      </w:r>
      <w:r>
        <w:t xml:space="preserve">Tagung, und wird aus der Welt der </w:t>
      </w:r>
      <w:r w:rsidRPr="00CF63A4">
        <w:rPr>
          <w:bCs/>
        </w:rPr>
        <w:t>Hethiter</w:t>
      </w:r>
      <w:r>
        <w:rPr>
          <w:bCs/>
        </w:rPr>
        <w:t xml:space="preserve"> und </w:t>
      </w:r>
      <w:r w:rsidRPr="00CF63A4">
        <w:rPr>
          <w:bCs/>
        </w:rPr>
        <w:t>Lykiens</w:t>
      </w:r>
      <w:r>
        <w:rPr>
          <w:bCs/>
        </w:rPr>
        <w:t xml:space="preserve"> erzählen. </w:t>
      </w:r>
      <w:r>
        <w:t xml:space="preserve">– </w:t>
      </w:r>
      <w:r w:rsidR="00CF63A4">
        <w:rPr>
          <w:bCs/>
        </w:rPr>
        <w:t>Darauf folgen die Referate von:</w:t>
      </w:r>
    </w:p>
    <w:p w:rsidR="00030AD3" w:rsidRDefault="00030AD3" w:rsidP="003731ED">
      <w:pPr>
        <w:numPr>
          <w:ilvl w:val="0"/>
          <w:numId w:val="16"/>
        </w:numPr>
        <w:spacing w:after="240" w:line="120" w:lineRule="atLeast"/>
      </w:pPr>
      <w:r>
        <w:t xml:space="preserve">Martin </w:t>
      </w:r>
      <w:r w:rsidRPr="001578A3">
        <w:rPr>
          <w:i/>
        </w:rPr>
        <w:t>Lang</w:t>
      </w:r>
      <w:r>
        <w:t>, Altorientalist aus Inns</w:t>
      </w:r>
      <w:r>
        <w:softHyphen/>
        <w:t xml:space="preserve">bruck und </w:t>
      </w:r>
    </w:p>
    <w:p w:rsidR="00030AD3" w:rsidRDefault="00030AD3" w:rsidP="003731ED">
      <w:pPr>
        <w:numPr>
          <w:ilvl w:val="0"/>
          <w:numId w:val="16"/>
        </w:numPr>
        <w:spacing w:after="240" w:line="120" w:lineRule="atLeast"/>
      </w:pPr>
      <w:r>
        <w:t xml:space="preserve">Simone </w:t>
      </w:r>
      <w:r w:rsidRPr="001578A3">
        <w:rPr>
          <w:i/>
        </w:rPr>
        <w:t>Paganini</w:t>
      </w:r>
      <w:r w:rsidRPr="00B578DB">
        <w:t>,</w:t>
      </w:r>
      <w:r>
        <w:t xml:space="preserve"> Prof. für B</w:t>
      </w:r>
      <w:r w:rsidR="00CF63A4">
        <w:t>iblische Theologie, dzt. Aachen. B</w:t>
      </w:r>
      <w:r>
        <w:t>eide sind Mitver</w:t>
      </w:r>
      <w:r>
        <w:softHyphen/>
        <w:t>anstalter: sie sprechen über ‚Kollektive Rechtspersönlichkeiten im frühen Meso</w:t>
      </w:r>
      <w:r>
        <w:softHyphen/>
        <w:t xml:space="preserve">potamien‘ (M. Lang) und ‚Biblisches Schuld- und Strafverständnis‘ (S. Paganini). </w:t>
      </w:r>
    </w:p>
    <w:p w:rsidR="00030AD3" w:rsidRDefault="00030AD3" w:rsidP="003731ED">
      <w:pPr>
        <w:numPr>
          <w:ilvl w:val="0"/>
          <w:numId w:val="16"/>
        </w:numPr>
        <w:spacing w:after="240" w:line="120" w:lineRule="atLeast"/>
      </w:pPr>
      <w:r>
        <w:t xml:space="preserve">Eckart </w:t>
      </w:r>
      <w:r w:rsidRPr="001578A3">
        <w:rPr>
          <w:i/>
        </w:rPr>
        <w:t>Otto</w:t>
      </w:r>
      <w:r w:rsidR="00CF63A4">
        <w:rPr>
          <w:i/>
        </w:rPr>
        <w:t>/</w:t>
      </w:r>
      <w:r>
        <w:t xml:space="preserve">München </w:t>
      </w:r>
      <w:r w:rsidR="00CF63A4">
        <w:t xml:space="preserve">– </w:t>
      </w:r>
      <w:r>
        <w:t>zählt zum Urgestein unserer Veranstaltung</w:t>
      </w:r>
      <w:r w:rsidR="00CF63A4">
        <w:t xml:space="preserve">. Er </w:t>
      </w:r>
      <w:r>
        <w:t>referiert dieses Mal über ‚biblisches Strafrecht‘. – Sie können den bisher erwähnten Vorträgen ent</w:t>
      </w:r>
      <w:r>
        <w:softHyphen/>
        <w:t>ne</w:t>
      </w:r>
      <w:r w:rsidR="00CF63A4">
        <w:t>h</w:t>
      </w:r>
      <w:r w:rsidR="00CF63A4">
        <w:softHyphen/>
      </w:r>
      <w:r w:rsidR="00CF63A4">
        <w:softHyphen/>
        <w:t>men, dass ausgehend von der ‚</w:t>
      </w:r>
      <w:r>
        <w:t>Antiken Rechtsgeschichte‘ auch Alte Geschichte, Altorien</w:t>
      </w:r>
      <w:r>
        <w:softHyphen/>
        <w:t xml:space="preserve">talistik und die Bibel- und Religionswissenschaft thematisch einbezogen werden! </w:t>
      </w:r>
    </w:p>
    <w:p w:rsidR="00030AD3" w:rsidRDefault="00030AD3" w:rsidP="003731ED">
      <w:pPr>
        <w:numPr>
          <w:ilvl w:val="0"/>
          <w:numId w:val="16"/>
        </w:numPr>
        <w:spacing w:after="240" w:line="120" w:lineRule="atLeast"/>
      </w:pPr>
      <w:r>
        <w:t xml:space="preserve">Viola </w:t>
      </w:r>
      <w:r w:rsidRPr="001578A3">
        <w:rPr>
          <w:i/>
        </w:rPr>
        <w:t>Heutger</w:t>
      </w:r>
      <w:r>
        <w:t xml:space="preserve"> u</w:t>
      </w:r>
      <w:r w:rsidR="00CF63A4">
        <w:t>nter</w:t>
      </w:r>
      <w:r w:rsidR="00CF63A4">
        <w:softHyphen/>
        <w:t xml:space="preserve">richtet dzt. in Instanbul, der </w:t>
      </w:r>
      <w:r>
        <w:t xml:space="preserve">Stadt Konstantins und Justinians und </w:t>
      </w:r>
      <w:r w:rsidR="00CF63A4">
        <w:t>versucht</w:t>
      </w:r>
      <w:r>
        <w:t xml:space="preserve"> dort </w:t>
      </w:r>
      <w:r w:rsidR="00CF63A4">
        <w:t>ihren türkischen Hörerinnen und Hörer</w:t>
      </w:r>
      <w:r w:rsidR="0093541C">
        <w:t>n</w:t>
      </w:r>
      <w:r w:rsidR="00CF63A4">
        <w:t xml:space="preserve"> </w:t>
      </w:r>
      <w:r w:rsidR="0093541C">
        <w:t>Interes</w:t>
      </w:r>
      <w:r w:rsidR="0093541C">
        <w:softHyphen/>
        <w:t>santes</w:t>
      </w:r>
      <w:r w:rsidR="00CF63A4">
        <w:t xml:space="preserve"> </w:t>
      </w:r>
      <w:r w:rsidR="0093541C">
        <w:t xml:space="preserve">aus der </w:t>
      </w:r>
      <w:r w:rsidR="00CF63A4">
        <w:t>Rechtsgeschichte der Stadt zu vermitteln</w:t>
      </w:r>
      <w:r>
        <w:t xml:space="preserve">! </w:t>
      </w:r>
      <w:r w:rsidR="0093541C">
        <w:t>– Sie ist das erste Mal bei uns in Innsbruck</w:t>
      </w:r>
      <w:r>
        <w:t xml:space="preserve">  und berichtet aus dem Konstantinopel des 5. und 6. Jhs. n.</w:t>
      </w:r>
    </w:p>
    <w:p w:rsidR="00030AD3" w:rsidRDefault="00030AD3" w:rsidP="003731ED">
      <w:pPr>
        <w:numPr>
          <w:ilvl w:val="0"/>
          <w:numId w:val="16"/>
        </w:numPr>
        <w:spacing w:after="240" w:line="120" w:lineRule="atLeast"/>
      </w:pPr>
      <w:r>
        <w:t xml:space="preserve">Lucian </w:t>
      </w:r>
      <w:r w:rsidRPr="001578A3">
        <w:rPr>
          <w:i/>
        </w:rPr>
        <w:t>Reinfandt</w:t>
      </w:r>
      <w:r>
        <w:t xml:space="preserve"> </w:t>
      </w:r>
      <w:r w:rsidR="00CF63A4">
        <w:t xml:space="preserve">kommt </w:t>
      </w:r>
      <w:r>
        <w:t>aus Wien</w:t>
      </w:r>
      <w:r w:rsidR="00CF63A4">
        <w:t>, war schon einmal bei uns und</w:t>
      </w:r>
      <w:r>
        <w:t xml:space="preserve"> referiert über die rechtlichen Entwicklungen im frühen Islam.</w:t>
      </w:r>
      <w:r w:rsidR="00CF63A4">
        <w:t xml:space="preserve"> – </w:t>
      </w:r>
      <w:r>
        <w:t xml:space="preserve"> Wir </w:t>
      </w:r>
      <w:r w:rsidRPr="00CF63A4">
        <w:t>sehen</w:t>
      </w:r>
      <w:r>
        <w:t xml:space="preserve"> seiner Einschätzung mit großem Interesse entgegen, steht doch der Islam derzeit im Zentrum weltweiten </w:t>
      </w:r>
      <w:r w:rsidR="00CF63A4">
        <w:t>politischen</w:t>
      </w:r>
      <w:r>
        <w:t xml:space="preserve"> Interesses!</w:t>
      </w:r>
      <w:r w:rsidR="00CF63A4">
        <w:t xml:space="preserve"> Wie weit der Islam in der ‚Personsentwicklung‘ eigene Wege gegangen ist oder </w:t>
      </w:r>
      <w:r w:rsidR="002868A2">
        <w:t xml:space="preserve">Vorhandenes rezipiert hat – was auch auf seine religiöse Inhalte zutrifft – soll uns L. R. mitteilen. </w:t>
      </w:r>
    </w:p>
    <w:p w:rsidR="00030AD3" w:rsidRDefault="00030AD3" w:rsidP="003731ED">
      <w:pPr>
        <w:numPr>
          <w:ilvl w:val="0"/>
          <w:numId w:val="16"/>
        </w:numPr>
        <w:spacing w:after="240" w:line="120" w:lineRule="atLeast"/>
      </w:pPr>
      <w:r>
        <w:t xml:space="preserve">Monika </w:t>
      </w:r>
      <w:r w:rsidRPr="001578A3">
        <w:rPr>
          <w:i/>
        </w:rPr>
        <w:t>Niedermayr</w:t>
      </w:r>
      <w:r w:rsidR="002868A2">
        <w:t>/Inns</w:t>
      </w:r>
      <w:r w:rsidR="002868A2">
        <w:softHyphen/>
        <w:t xml:space="preserve">bruck  präsentiert </w:t>
      </w:r>
      <w:r>
        <w:t>(als Rechtshistorikerin) das Ergebnis der (jahrtausende)langen Entwicklung zur Rechtsperson in den naturrechtlichen Kodifikatio</w:t>
      </w:r>
      <w:r>
        <w:softHyphen/>
        <w:t xml:space="preserve">nen an der Wende vom 18. zum 19. Jahrhundert: dem </w:t>
      </w:r>
      <w:r w:rsidRPr="004B7757">
        <w:t>Preuß</w:t>
      </w:r>
      <w:r w:rsidR="002868A2">
        <w:t xml:space="preserve">ischen </w:t>
      </w:r>
      <w:r w:rsidRPr="002868A2">
        <w:t>ALR</w:t>
      </w:r>
      <w:r>
        <w:t xml:space="preserve">, dem </w:t>
      </w:r>
      <w:r w:rsidRPr="004B7757">
        <w:t>Französ</w:t>
      </w:r>
      <w:r w:rsidR="002868A2">
        <w:t xml:space="preserve">ischen </w:t>
      </w:r>
      <w:r w:rsidRPr="002868A2">
        <w:t>Code</w:t>
      </w:r>
      <w:r w:rsidR="002868A2">
        <w:t xml:space="preserve"> </w:t>
      </w:r>
      <w:r w:rsidRPr="002868A2">
        <w:t>Civil</w:t>
      </w:r>
      <w:r w:rsidR="002868A2">
        <w:t xml:space="preserve"> und unserem</w:t>
      </w:r>
      <w:r>
        <w:t xml:space="preserve"> Österr</w:t>
      </w:r>
      <w:r w:rsidR="002868A2">
        <w:t xml:space="preserve">eichischen </w:t>
      </w:r>
      <w:r w:rsidRPr="002868A2">
        <w:t>ABGB</w:t>
      </w:r>
      <w:r>
        <w:t>.</w:t>
      </w:r>
      <w:r>
        <w:rPr>
          <w:rStyle w:val="Funotenzeichen"/>
        </w:rPr>
        <w:footnoteReference w:id="4"/>
      </w:r>
      <w:r>
        <w:t xml:space="preserve">  – Frau</w:t>
      </w:r>
      <w:r w:rsidRPr="00856E95">
        <w:t xml:space="preserve"> </w:t>
      </w:r>
      <w:r w:rsidRPr="00856E95">
        <w:lastRenderedPageBreak/>
        <w:t>Niede</w:t>
      </w:r>
      <w:r>
        <w:t>rmayr geht in ihrem Referat auch auf die</w:t>
      </w:r>
      <w:r w:rsidRPr="00856E95">
        <w:t xml:space="preserve"> grundle</w:t>
      </w:r>
      <w:r>
        <w:softHyphen/>
      </w:r>
      <w:r w:rsidRPr="00856E95">
        <w:t>gen</w:t>
      </w:r>
      <w:r>
        <w:softHyphen/>
      </w:r>
      <w:r w:rsidR="002868A2">
        <w:t xml:space="preserve">de </w:t>
      </w:r>
      <w:r w:rsidRPr="002868A2">
        <w:t>Geschlech</w:t>
      </w:r>
      <w:r w:rsidRPr="002868A2">
        <w:softHyphen/>
        <w:t>terbe</w:t>
      </w:r>
      <w:r w:rsidRPr="002868A2">
        <w:softHyphen/>
        <w:t>ziehung</w:t>
      </w:r>
      <w:r w:rsidRPr="00856E95">
        <w:t xml:space="preserve"> ein</w:t>
      </w:r>
      <w:r w:rsidR="002868A2">
        <w:t>, die das Tagungsthema ebenfalls enthält.</w:t>
      </w:r>
      <w:r>
        <w:t xml:space="preserve"> </w:t>
      </w:r>
    </w:p>
    <w:p w:rsidR="00030AD3" w:rsidRPr="00E458AD" w:rsidRDefault="00030AD3" w:rsidP="003731ED">
      <w:pPr>
        <w:numPr>
          <w:ilvl w:val="0"/>
          <w:numId w:val="16"/>
        </w:numPr>
        <w:spacing w:after="240" w:line="120" w:lineRule="atLeast"/>
      </w:pPr>
      <w:r>
        <w:t>Als letzter Vortragender spricht morgen der Innsbrucker Römisch</w:t>
      </w:r>
      <w:r>
        <w:softHyphen/>
        <w:t xml:space="preserve">rechtler Martin </w:t>
      </w:r>
      <w:r w:rsidRPr="001578A3">
        <w:rPr>
          <w:i/>
        </w:rPr>
        <w:t>Pennitz</w:t>
      </w:r>
      <w:r>
        <w:t>, der erst vor kurzem von Graz nach Innsbruck gekommen i</w:t>
      </w:r>
      <w:r w:rsidR="002868A2">
        <w:t>st, über die ‚persona servilis‘, geht also für das Alte Rom – wie Hans</w:t>
      </w:r>
      <w:r>
        <w:t xml:space="preserve"> Neumann </w:t>
      </w:r>
      <w:r w:rsidR="002868A2">
        <w:t xml:space="preserve">für den Alten Orient </w:t>
      </w:r>
      <w:r>
        <w:t xml:space="preserve">– auf die in der Antike </w:t>
      </w:r>
      <w:r w:rsidR="002868A2">
        <w:t>wichtige</w:t>
      </w:r>
      <w:r>
        <w:t xml:space="preserve"> Sklaven</w:t>
      </w:r>
      <w:r>
        <w:softHyphen/>
        <w:t>frage ein.</w:t>
      </w:r>
      <w:r w:rsidR="002868A2">
        <w:rPr>
          <w:rStyle w:val="Funotenzeichen"/>
        </w:rPr>
        <w:footnoteReference w:id="5"/>
      </w:r>
      <w:r>
        <w:t xml:space="preserve"> </w:t>
      </w:r>
    </w:p>
    <w:p w:rsidR="00030AD3" w:rsidRPr="00AC50B6" w:rsidRDefault="00030AD3" w:rsidP="00555414">
      <w:pPr>
        <w:spacing w:after="240" w:line="120" w:lineRule="atLeast"/>
        <w:jc w:val="both"/>
      </w:pPr>
      <w:r>
        <w:t xml:space="preserve">Herzlich begrüßen wir auch die diesjährige </w:t>
      </w:r>
      <w:r w:rsidRPr="002868A2">
        <w:rPr>
          <w:i/>
        </w:rPr>
        <w:t>Preisträgerin</w:t>
      </w:r>
      <w:r>
        <w:rPr>
          <w:b/>
        </w:rPr>
        <w:t xml:space="preserve"> – </w:t>
      </w:r>
      <w:r>
        <w:t xml:space="preserve">des zum dritten Mal verliehenen </w:t>
      </w:r>
      <w:r w:rsidRPr="002868A2">
        <w:t>Preises für ‚Antike Rechtsgeschichte‘</w:t>
      </w:r>
      <w:r>
        <w:t xml:space="preserve"> –  Frau Kristin </w:t>
      </w:r>
      <w:r w:rsidRPr="001578A3">
        <w:rPr>
          <w:i/>
        </w:rPr>
        <w:t>Kleber</w:t>
      </w:r>
      <w:r>
        <w:t xml:space="preserve"> </w:t>
      </w:r>
      <w:r w:rsidR="002868A2">
        <w:t>unterrichte</w:t>
      </w:r>
      <w:r w:rsidR="0093541C">
        <w:t>t</w:t>
      </w:r>
      <w:r w:rsidR="002868A2">
        <w:t xml:space="preserve"> derzeit in</w:t>
      </w:r>
      <w:r>
        <w:t xml:space="preserve"> Amsterdam</w:t>
      </w:r>
      <w:r w:rsidR="002868A2">
        <w:t xml:space="preserve"> und hat schon an früheren Innsbrucker Tagungen teilgenommen</w:t>
      </w:r>
      <w:r>
        <w:t xml:space="preserve">. – Martin </w:t>
      </w:r>
      <w:r w:rsidRPr="001578A3">
        <w:rPr>
          <w:i/>
        </w:rPr>
        <w:t>Lang</w:t>
      </w:r>
      <w:r>
        <w:t xml:space="preserve"> wird sie und Ihre Arbeit im Rahmen der Preisver</w:t>
      </w:r>
      <w:r>
        <w:softHyphen/>
        <w:t xml:space="preserve">leihung vorstellen und sie selbst wird </w:t>
      </w:r>
      <w:r w:rsidR="002868A2">
        <w:t xml:space="preserve">kurz </w:t>
      </w:r>
      <w:r>
        <w:t xml:space="preserve">zu uns sprechen. </w:t>
      </w:r>
      <w:r w:rsidRPr="00AC50B6">
        <w:t xml:space="preserve"> </w:t>
      </w:r>
    </w:p>
    <w:p w:rsidR="00030AD3" w:rsidRDefault="003D490F" w:rsidP="00555414">
      <w:pPr>
        <w:spacing w:after="240" w:line="120" w:lineRule="atLeast"/>
        <w:jc w:val="both"/>
      </w:pPr>
      <w:r>
        <w:t>Wir b</w:t>
      </w:r>
      <w:r w:rsidR="00030AD3">
        <w:t xml:space="preserve">egrüßen </w:t>
      </w:r>
      <w:r>
        <w:t>auch</w:t>
      </w:r>
      <w:r w:rsidR="0093541C">
        <w:t xml:space="preserve">: </w:t>
      </w:r>
      <w:r w:rsidR="00030AD3">
        <w:t xml:space="preserve">Frau </w:t>
      </w:r>
      <w:r w:rsidR="00030AD3" w:rsidRPr="003D490F">
        <w:t>Vizerektorin</w:t>
      </w:r>
      <w:r w:rsidR="00030AD3">
        <w:t xml:space="preserve"> Sabine </w:t>
      </w:r>
      <w:r w:rsidR="00030AD3" w:rsidRPr="003D490F">
        <w:rPr>
          <w:i/>
        </w:rPr>
        <w:t>Schindler</w:t>
      </w:r>
      <w:r w:rsidR="00030AD3">
        <w:t>, der für wich</w:t>
      </w:r>
      <w:r w:rsidR="00030AD3">
        <w:softHyphen/>
        <w:t xml:space="preserve">tige </w:t>
      </w:r>
      <w:r w:rsidR="00030AD3" w:rsidRPr="003D490F">
        <w:t>finanzielle Unterstützung</w:t>
      </w:r>
      <w:r>
        <w:t xml:space="preserve"> zu danken ist, und </w:t>
      </w:r>
      <w:r w:rsidR="00030AD3">
        <w:t xml:space="preserve">die  </w:t>
      </w:r>
      <w:r w:rsidR="00030AD3" w:rsidRPr="003D490F">
        <w:t>Dekane der drei  Veranstal</w:t>
      </w:r>
      <w:r w:rsidR="00030AD3" w:rsidRPr="003D490F">
        <w:softHyphen/>
        <w:t>ter</w:t>
      </w:r>
      <w:r w:rsidR="00030AD3" w:rsidRPr="003D490F">
        <w:softHyphen/>
        <w:t xml:space="preserve">fakultäten, denen </w:t>
      </w:r>
      <w:r w:rsidR="0093541C">
        <w:t xml:space="preserve">wir </w:t>
      </w:r>
      <w:r w:rsidR="00030AD3" w:rsidRPr="003D490F">
        <w:t xml:space="preserve">pauschal für Unterstützung danken: Leider </w:t>
      </w:r>
      <w:r w:rsidR="00555414">
        <w:t>waren</w:t>
      </w:r>
      <w:r w:rsidR="00030AD3" w:rsidRPr="003D490F">
        <w:t xml:space="preserve"> Christian </w:t>
      </w:r>
      <w:r w:rsidR="00030AD3" w:rsidRPr="00555414">
        <w:rPr>
          <w:i/>
        </w:rPr>
        <w:t>Markl</w:t>
      </w:r>
      <w:r w:rsidR="00030AD3" w:rsidRPr="003D490F">
        <w:t xml:space="preserve"> von der Rechtswissen</w:t>
      </w:r>
      <w:r w:rsidR="00555414">
        <w:softHyphen/>
      </w:r>
      <w:r w:rsidR="00030AD3" w:rsidRPr="003D490F">
        <w:t xml:space="preserve">schaftlichen und Klaus </w:t>
      </w:r>
      <w:r w:rsidR="00030AD3" w:rsidRPr="00555414">
        <w:rPr>
          <w:i/>
        </w:rPr>
        <w:t>Eisterer</w:t>
      </w:r>
      <w:r w:rsidR="00030AD3" w:rsidRPr="003D490F">
        <w:t xml:space="preserve"> von der Philosophisch-Historischen Fakultät </w:t>
      </w:r>
      <w:r w:rsidR="00555414">
        <w:t xml:space="preserve">(wegen kurzfristig eigener Verpflichtungen) </w:t>
      </w:r>
      <w:r w:rsidR="00030AD3" w:rsidRPr="003D490F">
        <w:t xml:space="preserve">verhindert, aber  Wolfgang </w:t>
      </w:r>
      <w:r w:rsidR="00030AD3" w:rsidRPr="00555414">
        <w:rPr>
          <w:i/>
        </w:rPr>
        <w:t>Palaver</w:t>
      </w:r>
      <w:r w:rsidR="00030AD3" w:rsidRPr="003D490F">
        <w:t xml:space="preserve"> von der Theologischen Faku</w:t>
      </w:r>
      <w:r w:rsidR="00030AD3">
        <w:t xml:space="preserve">ltät ist hier.  </w:t>
      </w:r>
    </w:p>
    <w:p w:rsidR="00030AD3" w:rsidRDefault="00030AD3" w:rsidP="00555414">
      <w:pPr>
        <w:spacing w:after="240" w:line="120" w:lineRule="atLeast"/>
        <w:jc w:val="both"/>
      </w:pPr>
      <w:r>
        <w:t xml:space="preserve">Zu danken haben wir schließlich </w:t>
      </w:r>
      <w:r w:rsidRPr="00555414">
        <w:t xml:space="preserve">als Sponsoren: dem </w:t>
      </w:r>
      <w:r w:rsidR="0093541C">
        <w:t>verläß</w:t>
      </w:r>
      <w:r w:rsidR="00555414" w:rsidRPr="00555414">
        <w:t>lichen</w:t>
      </w:r>
      <w:r w:rsidR="00555414">
        <w:t xml:space="preserve"> </w:t>
      </w:r>
      <w:r w:rsidRPr="00555414">
        <w:rPr>
          <w:i/>
        </w:rPr>
        <w:t>Land</w:t>
      </w:r>
      <w:r w:rsidRPr="00555414">
        <w:t xml:space="preserve"> </w:t>
      </w:r>
      <w:r w:rsidRPr="00555414">
        <w:rPr>
          <w:i/>
        </w:rPr>
        <w:t>Vorarlberg</w:t>
      </w:r>
      <w:r w:rsidR="00555414">
        <w:t xml:space="preserve"> und </w:t>
      </w:r>
      <w:r w:rsidRPr="00555414">
        <w:t xml:space="preserve">Herrn RA Dr. Viktor </w:t>
      </w:r>
      <w:r w:rsidRPr="00555414">
        <w:rPr>
          <w:i/>
        </w:rPr>
        <w:t>Thurn</w:t>
      </w:r>
      <w:r w:rsidRPr="00555414">
        <w:rPr>
          <w:i/>
        </w:rPr>
        <w:softHyphen/>
        <w:t>her</w:t>
      </w:r>
      <w:r w:rsidR="00555414">
        <w:t>/Dorn</w:t>
      </w:r>
      <w:r w:rsidR="00555414">
        <w:softHyphen/>
        <w:t>birn.</w:t>
      </w:r>
      <w:r w:rsidR="00555414">
        <w:rPr>
          <w:rStyle w:val="Funotenzeichen"/>
        </w:rPr>
        <w:footnoteReference w:id="6"/>
      </w:r>
    </w:p>
    <w:p w:rsidR="00030AD3" w:rsidRDefault="00030AD3" w:rsidP="003D3255">
      <w:pPr>
        <w:numPr>
          <w:ilvl w:val="0"/>
          <w:numId w:val="14"/>
        </w:numPr>
        <w:rPr>
          <w:b/>
        </w:rPr>
      </w:pPr>
      <w:r>
        <w:rPr>
          <w:b/>
        </w:rPr>
        <w:t>Weiteres z</w:t>
      </w:r>
      <w:r w:rsidRPr="003D3255">
        <w:rPr>
          <w:b/>
        </w:rPr>
        <w:t>um Tagungsablauf</w:t>
      </w:r>
      <w:r>
        <w:rPr>
          <w:b/>
        </w:rPr>
        <w:t xml:space="preserve"> und dem Tagungskonzept</w:t>
      </w:r>
    </w:p>
    <w:p w:rsidR="00030AD3" w:rsidRPr="003D3255" w:rsidRDefault="00030AD3" w:rsidP="003D3255">
      <w:pPr>
        <w:ind w:left="1080"/>
        <w:rPr>
          <w:b/>
        </w:rPr>
      </w:pPr>
    </w:p>
    <w:p w:rsidR="00030AD3" w:rsidRPr="00555414" w:rsidRDefault="00555414" w:rsidP="00555414">
      <w:pPr>
        <w:spacing w:after="240" w:line="120" w:lineRule="atLeast"/>
        <w:jc w:val="both"/>
      </w:pPr>
      <w:r>
        <w:t>Bevor</w:t>
      </w:r>
      <w:r w:rsidR="00030AD3">
        <w:t xml:space="preserve"> ich </w:t>
      </w:r>
      <w:r w:rsidR="0093541C">
        <w:t xml:space="preserve">in Pkt. III. </w:t>
      </w:r>
      <w:r>
        <w:t xml:space="preserve">zum </w:t>
      </w:r>
      <w:r w:rsidR="00030AD3" w:rsidRPr="00555414">
        <w:rPr>
          <w:i/>
        </w:rPr>
        <w:t>Ta</w:t>
      </w:r>
      <w:r w:rsidR="00030AD3" w:rsidRPr="00555414">
        <w:rPr>
          <w:i/>
        </w:rPr>
        <w:softHyphen/>
        <w:t>gungs</w:t>
      </w:r>
      <w:r w:rsidR="00030AD3" w:rsidRPr="00555414">
        <w:rPr>
          <w:i/>
        </w:rPr>
        <w:softHyphen/>
        <w:t>thema</w:t>
      </w:r>
      <w:r>
        <w:t xml:space="preserve"> </w:t>
      </w:r>
      <w:r w:rsidR="00030AD3">
        <w:t xml:space="preserve">komme  </w:t>
      </w:r>
      <w:r w:rsidR="0093541C">
        <w:t xml:space="preserve">sind </w:t>
      </w:r>
      <w:r w:rsidR="00030AD3">
        <w:t xml:space="preserve">noch einige </w:t>
      </w:r>
      <w:r w:rsidR="00030AD3" w:rsidRPr="00555414">
        <w:t>organisatorische Hinweise</w:t>
      </w:r>
      <w:r>
        <w:t xml:space="preserve"> anzukündigen</w:t>
      </w:r>
      <w:r w:rsidR="00030AD3" w:rsidRPr="00555414">
        <w:t xml:space="preserve">. </w:t>
      </w:r>
      <w:r>
        <w:t xml:space="preserve">Daran anschließend </w:t>
      </w:r>
      <w:r w:rsidR="00030AD3" w:rsidRPr="00555414">
        <w:t xml:space="preserve">werde ich </w:t>
      </w:r>
      <w:r w:rsidR="0093541C">
        <w:t xml:space="preserve">in </w:t>
      </w:r>
      <w:r w:rsidR="0093541C" w:rsidRPr="00555414">
        <w:t>Pkt. IV</w:t>
      </w:r>
      <w:r w:rsidR="0093541C">
        <w:t xml:space="preserve"> </w:t>
      </w:r>
      <w:r>
        <w:t xml:space="preserve">– in der schriftlichen Ausfertigung etwas ausführlicher – </w:t>
      </w:r>
      <w:r w:rsidR="00030AD3" w:rsidRPr="00555414">
        <w:t>über die</w:t>
      </w:r>
      <w:r w:rsidR="0093541C">
        <w:t xml:space="preserve"> für Europa grundlegende</w:t>
      </w:r>
      <w:r w:rsidR="00030AD3" w:rsidRPr="00555414">
        <w:t xml:space="preserve"> griechische Ent</w:t>
      </w:r>
      <w:r w:rsidR="00030AD3" w:rsidRPr="00555414">
        <w:softHyphen/>
        <w:t>wicklung sprechen</w:t>
      </w:r>
      <w:r>
        <w:t>.</w:t>
      </w:r>
      <w:r w:rsidR="00030AD3" w:rsidRPr="00555414">
        <w:t xml:space="preserve"> </w:t>
      </w:r>
      <w:r>
        <w:t xml:space="preserve">Das antike Griechenland lag </w:t>
      </w:r>
      <w:r w:rsidR="00030AD3" w:rsidRPr="00555414">
        <w:t>historisch im Schnittpunkt von Orient und Okzident</w:t>
      </w:r>
      <w:r>
        <w:t xml:space="preserve"> </w:t>
      </w:r>
      <w:r w:rsidR="00030AD3" w:rsidRPr="00555414">
        <w:t xml:space="preserve">und </w:t>
      </w:r>
      <w:r w:rsidR="001E1114">
        <w:t>war für Rom und die spätere Entwicklung</w:t>
      </w:r>
      <w:r w:rsidR="00030AD3" w:rsidRPr="00555414">
        <w:t xml:space="preserve"> </w:t>
      </w:r>
      <w:r w:rsidR="0093541C">
        <w:t xml:space="preserve">überaus </w:t>
      </w:r>
      <w:r w:rsidR="00030AD3" w:rsidRPr="00555414">
        <w:t>wichtig</w:t>
      </w:r>
      <w:r w:rsidR="001E1114">
        <w:t>. Denn Griechenland</w:t>
      </w:r>
      <w:r w:rsidR="0093541C">
        <w:t xml:space="preserve"> – nicht Rom oder das Christentum – schuf</w:t>
      </w:r>
      <w:r w:rsidR="00030AD3" w:rsidRPr="00555414">
        <w:t xml:space="preserve"> für die europäische Entwicklung</w:t>
      </w:r>
      <w:r w:rsidR="001E1114">
        <w:t xml:space="preserve"> zur Rechts</w:t>
      </w:r>
      <w:r w:rsidR="001E1114">
        <w:softHyphen/>
        <w:t>person</w:t>
      </w:r>
      <w:r w:rsidR="00030AD3" w:rsidRPr="00555414">
        <w:t xml:space="preserve"> das </w:t>
      </w:r>
      <w:r w:rsidR="001E1114">
        <w:t>Paradigma!</w:t>
      </w:r>
      <w:r w:rsidR="001E1114">
        <w:rPr>
          <w:rStyle w:val="Funotenzeichen"/>
        </w:rPr>
        <w:footnoteReference w:id="7"/>
      </w:r>
    </w:p>
    <w:p w:rsidR="00030AD3" w:rsidRPr="00555414" w:rsidRDefault="00030AD3" w:rsidP="003731ED">
      <w:pPr>
        <w:numPr>
          <w:ilvl w:val="0"/>
          <w:numId w:val="16"/>
        </w:numPr>
        <w:spacing w:after="240" w:line="120" w:lineRule="atLeast"/>
      </w:pPr>
      <w:r w:rsidRPr="00555414">
        <w:t xml:space="preserve">Den detaillierten </w:t>
      </w:r>
      <w:r w:rsidRPr="00816E8F">
        <w:rPr>
          <w:i/>
        </w:rPr>
        <w:t>Tagungsablauf</w:t>
      </w:r>
      <w:r w:rsidRPr="00555414">
        <w:t xml:space="preserve"> können sie dem gedruckten </w:t>
      </w:r>
      <w:r w:rsidRPr="00816E8F">
        <w:rPr>
          <w:i/>
        </w:rPr>
        <w:t>Programm</w:t>
      </w:r>
      <w:r w:rsidRPr="00555414">
        <w:t xml:space="preserve"> entnehmen, das dankenswerter We</w:t>
      </w:r>
      <w:r w:rsidR="00816E8F">
        <w:t xml:space="preserve">ise Herr </w:t>
      </w:r>
      <w:r w:rsidR="00816E8F" w:rsidRPr="00816E8F">
        <w:rPr>
          <w:i/>
        </w:rPr>
        <w:t>Krieglsteiner</w:t>
      </w:r>
      <w:r w:rsidR="00816E8F">
        <w:t xml:space="preserve"> (vom Rechtswissenschaftlichen </w:t>
      </w:r>
      <w:r w:rsidRPr="00555414">
        <w:t xml:space="preserve">Dekanat) </w:t>
      </w:r>
      <w:r w:rsidR="00816E8F">
        <w:t>in Druckform gebracht</w:t>
      </w:r>
      <w:r w:rsidRPr="00555414">
        <w:t xml:space="preserve"> hat.</w:t>
      </w:r>
    </w:p>
    <w:p w:rsidR="00030AD3" w:rsidRPr="00555414" w:rsidRDefault="00030AD3" w:rsidP="003731ED">
      <w:pPr>
        <w:numPr>
          <w:ilvl w:val="0"/>
          <w:numId w:val="16"/>
        </w:numPr>
        <w:spacing w:after="240" w:line="120" w:lineRule="atLeast"/>
      </w:pPr>
      <w:r w:rsidRPr="00555414">
        <w:t xml:space="preserve">Über die </w:t>
      </w:r>
      <w:r w:rsidRPr="00816E8F">
        <w:rPr>
          <w:i/>
        </w:rPr>
        <w:t>Vortragenden</w:t>
      </w:r>
      <w:r w:rsidRPr="00555414">
        <w:t xml:space="preserve"> und </w:t>
      </w:r>
      <w:r w:rsidRPr="00816E8F">
        <w:rPr>
          <w:i/>
        </w:rPr>
        <w:t>Veranstalter</w:t>
      </w:r>
      <w:r w:rsidRPr="00555414">
        <w:t xml:space="preserve"> </w:t>
      </w:r>
      <w:r w:rsidR="0093541C">
        <w:t xml:space="preserve">sowie die Preisträgerin </w:t>
      </w:r>
      <w:r w:rsidRPr="00555414">
        <w:t xml:space="preserve">können Sie sich im erneut aufgelegten </w:t>
      </w:r>
      <w:r w:rsidRPr="00816E8F">
        <w:rPr>
          <w:i/>
        </w:rPr>
        <w:t>Programmheft</w:t>
      </w:r>
      <w:r w:rsidRPr="00555414">
        <w:t xml:space="preserve">  informieren</w:t>
      </w:r>
      <w:r w:rsidR="00816E8F">
        <w:t>, das Frau Tatjana</w:t>
      </w:r>
      <w:r w:rsidRPr="00555414">
        <w:t xml:space="preserve"> </w:t>
      </w:r>
      <w:r w:rsidRPr="00816E8F">
        <w:rPr>
          <w:i/>
        </w:rPr>
        <w:t>Ulasik</w:t>
      </w:r>
      <w:r w:rsidRPr="00555414">
        <w:t xml:space="preserve"> vom Institut für Zivilrecht </w:t>
      </w:r>
      <w:r w:rsidR="00816E8F">
        <w:t>erstellt</w:t>
      </w:r>
      <w:r w:rsidRPr="00555414">
        <w:t xml:space="preserve"> hat.</w:t>
      </w:r>
    </w:p>
    <w:p w:rsidR="00030AD3" w:rsidRPr="00555414" w:rsidRDefault="00030AD3" w:rsidP="003731ED">
      <w:pPr>
        <w:numPr>
          <w:ilvl w:val="0"/>
          <w:numId w:val="16"/>
        </w:numPr>
        <w:spacing w:after="240" w:line="120" w:lineRule="atLeast"/>
      </w:pPr>
      <w:r w:rsidRPr="00555414">
        <w:t xml:space="preserve">Die </w:t>
      </w:r>
      <w:r w:rsidR="0093541C">
        <w:t xml:space="preserve">wichtigen </w:t>
      </w:r>
      <w:r w:rsidRPr="00816E8F">
        <w:rPr>
          <w:i/>
        </w:rPr>
        <w:t>Kaffeepausen</w:t>
      </w:r>
      <w:r w:rsidRPr="00555414">
        <w:t xml:space="preserve"> sind im Programm ausgewiesen: alle sind dazu eingeladen!</w:t>
      </w:r>
    </w:p>
    <w:p w:rsidR="00030AD3" w:rsidRPr="00555414" w:rsidRDefault="00030AD3" w:rsidP="003731ED">
      <w:pPr>
        <w:numPr>
          <w:ilvl w:val="0"/>
          <w:numId w:val="16"/>
        </w:numPr>
        <w:spacing w:after="240" w:line="120" w:lineRule="atLeast"/>
      </w:pPr>
      <w:r w:rsidRPr="00555414">
        <w:t xml:space="preserve"> Der </w:t>
      </w:r>
      <w:r w:rsidRPr="00816E8F">
        <w:rPr>
          <w:i/>
        </w:rPr>
        <w:t>Tagungsablauf</w:t>
      </w:r>
      <w:r w:rsidRPr="00555414">
        <w:t xml:space="preserve"> nimmt Rücksicht auf Zeitwünsche </w:t>
      </w:r>
      <w:r w:rsidR="0093541C">
        <w:t>von</w:t>
      </w:r>
      <w:r w:rsidRPr="00555414">
        <w:t xml:space="preserve"> Vortragenden, wodurch Zeitsprünge entstanden sind, wofür wir um Verständnis ersuchen! </w:t>
      </w:r>
    </w:p>
    <w:p w:rsidR="00030AD3" w:rsidRPr="00816E8F" w:rsidRDefault="00030AD3" w:rsidP="00816E8F">
      <w:pPr>
        <w:numPr>
          <w:ilvl w:val="0"/>
          <w:numId w:val="16"/>
        </w:numPr>
        <w:spacing w:after="240" w:line="120" w:lineRule="atLeast"/>
        <w:jc w:val="both"/>
      </w:pPr>
      <w:r w:rsidRPr="00555414">
        <w:lastRenderedPageBreak/>
        <w:t xml:space="preserve">Das </w:t>
      </w:r>
      <w:r w:rsidRPr="00816E8F">
        <w:rPr>
          <w:i/>
        </w:rPr>
        <w:t>Konzept der Tagung</w:t>
      </w:r>
      <w:r w:rsidRPr="00555414">
        <w:t xml:space="preserve"> ist dieses Mal </w:t>
      </w:r>
      <w:r w:rsidR="00797C34">
        <w:t>hinsichtlich der Anzahl der Vortragenden</w:t>
      </w:r>
      <w:r w:rsidRPr="00816E8F">
        <w:t xml:space="preserve"> schmäler ausgefallen; dies aus organisatorischen und finanziellen</w:t>
      </w:r>
      <w:r w:rsidR="00816E8F" w:rsidRPr="00816E8F">
        <w:t xml:space="preserve"> Gründen, die auch wir spüren! </w:t>
      </w:r>
      <w:r w:rsidR="00816E8F">
        <w:t>– Wir woll</w:t>
      </w:r>
      <w:r w:rsidR="00797C34">
        <w:t>t</w:t>
      </w:r>
      <w:r w:rsidRPr="00816E8F">
        <w:t xml:space="preserve">en aber auch </w:t>
      </w:r>
      <w:r w:rsidR="00816E8F">
        <w:t xml:space="preserve">Zeit </w:t>
      </w:r>
      <w:r w:rsidRPr="00816E8F">
        <w:t>für Gespräche</w:t>
      </w:r>
      <w:r w:rsidR="00816E8F">
        <w:t xml:space="preserve"> </w:t>
      </w:r>
      <w:r w:rsidRPr="00816E8F">
        <w:t>in den Kaffeepausen und Diskussion</w:t>
      </w:r>
      <w:r w:rsidR="00797C34">
        <w:t>en</w:t>
      </w:r>
      <w:r w:rsidR="00816E8F">
        <w:t xml:space="preserve"> zwischen und </w:t>
      </w:r>
      <w:r w:rsidR="00816E8F" w:rsidRPr="00816E8F">
        <w:t>nach den Vorträgen lassen.</w:t>
      </w:r>
    </w:p>
    <w:p w:rsidR="00030AD3" w:rsidRPr="0050083F" w:rsidRDefault="00030AD3" w:rsidP="003731ED">
      <w:pPr>
        <w:numPr>
          <w:ilvl w:val="0"/>
          <w:numId w:val="16"/>
        </w:numPr>
        <w:spacing w:after="240" w:line="120" w:lineRule="atLeast"/>
      </w:pPr>
      <w:r w:rsidRPr="0050083F">
        <w:t xml:space="preserve">Leider ist es auch dieses Mal nicht gelungen, ein </w:t>
      </w:r>
      <w:r w:rsidR="0050083F">
        <w:t xml:space="preserve">ganz </w:t>
      </w:r>
      <w:r w:rsidRPr="0050083F">
        <w:t>optimales Programm zu erstel</w:t>
      </w:r>
      <w:r w:rsidRPr="0050083F">
        <w:softHyphen/>
        <w:t xml:space="preserve">len; es sind Lücken zu beklagen! Es fehlen:  </w:t>
      </w:r>
    </w:p>
    <w:p w:rsidR="00030AD3" w:rsidRPr="0050083F" w:rsidRDefault="00030AD3" w:rsidP="000C2683">
      <w:pPr>
        <w:pStyle w:val="Listenabsatz"/>
        <w:numPr>
          <w:ilvl w:val="1"/>
          <w:numId w:val="2"/>
        </w:numPr>
      </w:pPr>
      <w:r w:rsidRPr="0050083F">
        <w:t xml:space="preserve">Ein </w:t>
      </w:r>
      <w:r w:rsidRPr="0050083F">
        <w:rPr>
          <w:i/>
        </w:rPr>
        <w:t>soziologischer</w:t>
      </w:r>
      <w:r w:rsidRPr="0050083F">
        <w:t xml:space="preserve"> und </w:t>
      </w:r>
    </w:p>
    <w:p w:rsidR="00030AD3" w:rsidRPr="0050083F" w:rsidRDefault="00030AD3" w:rsidP="000C2683">
      <w:pPr>
        <w:pStyle w:val="Listenabsatz"/>
        <w:numPr>
          <w:ilvl w:val="1"/>
          <w:numId w:val="2"/>
        </w:numPr>
      </w:pPr>
      <w:r w:rsidRPr="0050083F">
        <w:t xml:space="preserve">ein </w:t>
      </w:r>
      <w:r w:rsidRPr="0050083F">
        <w:rPr>
          <w:i/>
        </w:rPr>
        <w:t>religionswissenschaftlicher</w:t>
      </w:r>
      <w:r w:rsidRPr="0050083F">
        <w:t xml:space="preserve"> Beitrag über die ,Emergenz der Person‘</w:t>
      </w:r>
      <w:r w:rsidR="0050083F">
        <w:t>.</w:t>
      </w:r>
      <w:r w:rsidRPr="0050083F">
        <w:t xml:space="preserve"> </w:t>
      </w:r>
    </w:p>
    <w:p w:rsidR="00030AD3" w:rsidRPr="0050083F" w:rsidRDefault="0050083F" w:rsidP="000C2683">
      <w:pPr>
        <w:pStyle w:val="Listenabsatz"/>
        <w:numPr>
          <w:ilvl w:val="1"/>
          <w:numId w:val="2"/>
        </w:numPr>
      </w:pPr>
      <w:r>
        <w:t>A</w:t>
      </w:r>
      <w:r w:rsidR="00030AD3" w:rsidRPr="0050083F">
        <w:t xml:space="preserve">uch eine </w:t>
      </w:r>
      <w:r w:rsidR="00030AD3" w:rsidRPr="0050083F">
        <w:rPr>
          <w:i/>
        </w:rPr>
        <w:t>psychoanalytische</w:t>
      </w:r>
      <w:r w:rsidR="00030AD3" w:rsidRPr="0050083F">
        <w:t xml:space="preserve"> Betrachtung wäre wertvoll gewesen.</w:t>
      </w:r>
      <w:r w:rsidR="00030AD3" w:rsidRPr="0050083F">
        <w:rPr>
          <w:rStyle w:val="Funotenzeichen"/>
        </w:rPr>
        <w:footnoteReference w:id="8"/>
      </w:r>
      <w:r w:rsidR="00030AD3" w:rsidRPr="0050083F">
        <w:t xml:space="preserve"> – </w:t>
      </w:r>
    </w:p>
    <w:p w:rsidR="0050083F" w:rsidRDefault="0050083F" w:rsidP="000C2683">
      <w:pPr>
        <w:pStyle w:val="Listenabsatz"/>
        <w:numPr>
          <w:ilvl w:val="1"/>
          <w:numId w:val="2"/>
        </w:numPr>
      </w:pPr>
      <w:r>
        <w:t>A</w:t>
      </w:r>
      <w:r w:rsidR="00030AD3" w:rsidRPr="0050083F">
        <w:t xml:space="preserve">uf die </w:t>
      </w:r>
      <w:r w:rsidR="00030AD3" w:rsidRPr="0050083F">
        <w:rPr>
          <w:i/>
        </w:rPr>
        <w:t>biologischen</w:t>
      </w:r>
      <w:r w:rsidR="00030AD3" w:rsidRPr="0050083F">
        <w:t xml:space="preserve"> Voraussetzungen der Entwicklung zum</w:t>
      </w:r>
      <w:r w:rsidR="00797C34">
        <w:t xml:space="preserve"> Menschen und </w:t>
      </w:r>
      <w:r w:rsidR="00030AD3" w:rsidRPr="0050083F">
        <w:t>Indivi</w:t>
      </w:r>
      <w:r w:rsidR="00030AD3" w:rsidRPr="0050083F">
        <w:softHyphen/>
        <w:t xml:space="preserve">duum wäre </w:t>
      </w:r>
      <w:r>
        <w:t xml:space="preserve">ebenfalls </w:t>
      </w:r>
      <w:r w:rsidR="00030AD3" w:rsidRPr="0050083F">
        <w:t>einzugehen gewesen, zumal Hirnforschung</w:t>
      </w:r>
      <w:r w:rsidR="00797C34">
        <w:t>,</w:t>
      </w:r>
      <w:r w:rsidR="00030AD3" w:rsidRPr="0050083F">
        <w:t xml:space="preserve"> Neurowissen</w:t>
      </w:r>
      <w:r w:rsidR="00030AD3" w:rsidRPr="0050083F">
        <w:softHyphen/>
        <w:t xml:space="preserve">schaften </w:t>
      </w:r>
      <w:r w:rsidR="00797C34">
        <w:t xml:space="preserve">und Evolutionsbiologie </w:t>
      </w:r>
      <w:r w:rsidR="00030AD3" w:rsidRPr="0050083F">
        <w:t>interessante Ergebnisse vorzuweisen haben.</w:t>
      </w:r>
      <w:r w:rsidR="00797C34">
        <w:rPr>
          <w:rStyle w:val="Funotenzeichen"/>
        </w:rPr>
        <w:footnoteReference w:id="9"/>
      </w:r>
      <w:r w:rsidR="00030AD3" w:rsidRPr="0050083F">
        <w:t xml:space="preserve"> </w:t>
      </w:r>
    </w:p>
    <w:p w:rsidR="00030AD3" w:rsidRPr="0050083F" w:rsidRDefault="00030AD3" w:rsidP="0050083F">
      <w:pPr>
        <w:pStyle w:val="Listenabsatz"/>
        <w:ind w:left="1440"/>
      </w:pPr>
      <w:r w:rsidRPr="0050083F">
        <w:t>Ich kann das hier nicht nachholen, möchte aber wenigstens so viel sagen: Der neuronale Individua</w:t>
      </w:r>
      <w:r w:rsidRPr="0050083F">
        <w:softHyphen/>
        <w:t xml:space="preserve">tionsprozeß stattete Menschen mit der Fähigkeit aus, ein Ich- oder Selbstbewußtsein zu entwickeln. </w:t>
      </w:r>
      <w:r w:rsidR="00797C34">
        <w:t>D</w:t>
      </w:r>
      <w:r w:rsidRPr="0050083F">
        <w:t>ieser Prozeß wird von der Gehirnforschung – und das erscheint mir erwähnenswert – nicht nur neurobiologisch erklärt, sondern auch als kultu</w:t>
      </w:r>
      <w:r w:rsidRPr="0050083F">
        <w:softHyphen/>
        <w:t>relles Konstrukt.</w:t>
      </w:r>
      <w:r w:rsidRPr="0050083F">
        <w:rPr>
          <w:rStyle w:val="Funotenzeichen"/>
        </w:rPr>
        <w:footnoteReference w:id="10"/>
      </w:r>
      <w:r w:rsidRPr="0050083F">
        <w:t xml:space="preserve"> Die gesellschaftliche und rechtliche Anerkennung des Men</w:t>
      </w:r>
      <w:r w:rsidRPr="0050083F">
        <w:softHyphen/>
        <w:t xml:space="preserve">schen als </w:t>
      </w:r>
      <w:r w:rsidR="00797C34">
        <w:t>‚</w:t>
      </w:r>
      <w:r w:rsidRPr="0050083F">
        <w:t>Person</w:t>
      </w:r>
      <w:r w:rsidR="00797C34">
        <w:t>‘</w:t>
      </w:r>
      <w:r w:rsidRPr="0050083F">
        <w:t xml:space="preserve"> und </w:t>
      </w:r>
      <w:r w:rsidR="00797C34">
        <w:t>‚</w:t>
      </w:r>
      <w:r w:rsidRPr="0050083F">
        <w:t>Rechtssubjekt</w:t>
      </w:r>
      <w:r w:rsidR="00797C34">
        <w:t>‘</w:t>
      </w:r>
      <w:r w:rsidR="0050083F">
        <w:t>,</w:t>
      </w:r>
      <w:r w:rsidRPr="0050083F">
        <w:t xml:space="preserve"> vollzog demnach normativ-gesell</w:t>
      </w:r>
      <w:r w:rsidRPr="0050083F">
        <w:softHyphen/>
        <w:t>schaft</w:t>
      </w:r>
      <w:r w:rsidRPr="0050083F">
        <w:softHyphen/>
        <w:t xml:space="preserve">lich nach, was unsere Gehirne </w:t>
      </w:r>
      <w:r w:rsidR="00797C34">
        <w:t>viel</w:t>
      </w:r>
      <w:r w:rsidRPr="0050083F">
        <w:t xml:space="preserve"> früher entwickelt hatten. Der  normativ-kulturelle Entwicklungsschritt förderte wiederum die subjektive Ent</w:t>
      </w:r>
      <w:r w:rsidRPr="0050083F">
        <w:softHyphen/>
        <w:t>wicklung des menschlichen Bewußtseins</w:t>
      </w:r>
      <w:r w:rsidR="00797C34">
        <w:t xml:space="preserve"> (in der jeweiligen Gesellschaft)</w:t>
      </w:r>
      <w:r w:rsidRPr="0050083F">
        <w:t>.</w:t>
      </w:r>
      <w:r w:rsidR="00797C34">
        <w:t xml:space="preserve"> An Hand der griechischen Entwicklung lässt sich das anschaulich </w:t>
      </w:r>
      <w:r w:rsidR="00A9131D">
        <w:t>nachvollziehen.</w:t>
      </w:r>
      <w:r w:rsidR="0050083F">
        <w:t xml:space="preserve"> – Man kann daher die </w:t>
      </w:r>
      <w:r w:rsidRPr="0050083F">
        <w:t>normative Absicherung der menschli</w:t>
      </w:r>
      <w:r w:rsidRPr="0050083F">
        <w:softHyphen/>
        <w:t>chen Subjek</w:t>
      </w:r>
      <w:r w:rsidRPr="0050083F">
        <w:softHyphen/>
        <w:t>tivität als Ergänzung des evolutiv-neuronal Erreichten verstehen.</w:t>
      </w:r>
      <w:bookmarkStart w:id="0" w:name="_Ref510098938"/>
      <w:r w:rsidRPr="0050083F">
        <w:rPr>
          <w:rStyle w:val="Funotenzeichen"/>
        </w:rPr>
        <w:footnoteReference w:id="11"/>
      </w:r>
      <w:bookmarkEnd w:id="0"/>
    </w:p>
    <w:p w:rsidR="00030AD3" w:rsidRDefault="00030AD3" w:rsidP="00AA0751">
      <w:pPr>
        <w:pStyle w:val="Listenabsatz"/>
      </w:pPr>
    </w:p>
    <w:p w:rsidR="00030AD3" w:rsidRPr="004A2F5F" w:rsidRDefault="00030AD3" w:rsidP="003731ED">
      <w:pPr>
        <w:numPr>
          <w:ilvl w:val="0"/>
          <w:numId w:val="16"/>
        </w:numPr>
        <w:spacing w:after="240" w:line="120" w:lineRule="atLeast"/>
      </w:pPr>
      <w:r w:rsidRPr="004A2F5F">
        <w:lastRenderedPageBreak/>
        <w:t>Die Referate sollen erneut publiziert werden!</w:t>
      </w:r>
      <w:r w:rsidRPr="004A2F5F">
        <w:rPr>
          <w:rStyle w:val="Funotenzeichen"/>
        </w:rPr>
        <w:footnoteReference w:id="12"/>
      </w:r>
      <w:r w:rsidR="004A2F5F">
        <w:t xml:space="preserve">  – Insgesamt </w:t>
      </w:r>
      <w:r w:rsidRPr="004A2F5F">
        <w:t xml:space="preserve">pflegen wir </w:t>
      </w:r>
      <w:r w:rsidR="004A2F5F">
        <w:t xml:space="preserve">wie </w:t>
      </w:r>
      <w:r w:rsidR="004A2F5F" w:rsidRPr="004A2F5F">
        <w:t xml:space="preserve">bisher </w:t>
      </w:r>
      <w:r w:rsidRPr="004A2F5F">
        <w:t xml:space="preserve">die </w:t>
      </w:r>
      <w:r w:rsidRPr="00303ADA">
        <w:rPr>
          <w:i/>
        </w:rPr>
        <w:t>Antike Rechtsgeschichte über Rom hinaus</w:t>
      </w:r>
      <w:r w:rsidRPr="004A2F5F">
        <w:t xml:space="preserve"> …! Ich habe dazu bei früheren Tagungen manches gesagt!</w:t>
      </w:r>
      <w:r w:rsidRPr="004A2F5F">
        <w:rPr>
          <w:rStyle w:val="Funotenzeichen"/>
        </w:rPr>
        <w:footnoteReference w:id="13"/>
      </w:r>
    </w:p>
    <w:p w:rsidR="00030AD3" w:rsidRDefault="00030AD3" w:rsidP="00AA0751">
      <w:pPr>
        <w:spacing w:after="240" w:line="120" w:lineRule="atLeast"/>
        <w:ind w:left="360"/>
      </w:pPr>
    </w:p>
    <w:p w:rsidR="00A9131D" w:rsidRDefault="00A9131D" w:rsidP="00AA0751">
      <w:pPr>
        <w:spacing w:after="240" w:line="120" w:lineRule="atLeast"/>
        <w:ind w:left="360"/>
      </w:pPr>
    </w:p>
    <w:p w:rsidR="00030AD3" w:rsidRPr="00AA0751" w:rsidRDefault="00030AD3" w:rsidP="003D3255">
      <w:pPr>
        <w:numPr>
          <w:ilvl w:val="0"/>
          <w:numId w:val="14"/>
        </w:numPr>
        <w:rPr>
          <w:b/>
        </w:rPr>
      </w:pPr>
      <w:r>
        <w:rPr>
          <w:b/>
          <w:bCs/>
        </w:rPr>
        <w:t xml:space="preserve">    </w:t>
      </w:r>
      <w:r w:rsidR="00303ADA">
        <w:rPr>
          <w:b/>
          <w:bCs/>
        </w:rPr>
        <w:t>Z</w:t>
      </w:r>
      <w:r w:rsidRPr="003D3255">
        <w:rPr>
          <w:b/>
          <w:bCs/>
        </w:rPr>
        <w:t>um</w:t>
      </w:r>
      <w:r w:rsidRPr="003D3255">
        <w:rPr>
          <w:b/>
          <w:sz w:val="28"/>
          <w:szCs w:val="28"/>
        </w:rPr>
        <w:t xml:space="preserve"> </w:t>
      </w:r>
      <w:r w:rsidRPr="003D3255">
        <w:rPr>
          <w:b/>
          <w:bCs/>
        </w:rPr>
        <w:t>T</w:t>
      </w:r>
      <w:r w:rsidR="00303ADA">
        <w:rPr>
          <w:b/>
          <w:bCs/>
        </w:rPr>
        <w:t>agungst</w:t>
      </w:r>
      <w:r w:rsidRPr="003D3255">
        <w:rPr>
          <w:b/>
          <w:bCs/>
        </w:rPr>
        <w:t>hema</w:t>
      </w:r>
    </w:p>
    <w:p w:rsidR="00030AD3" w:rsidRPr="00955FBB" w:rsidRDefault="00030AD3" w:rsidP="00AA0751">
      <w:pPr>
        <w:ind w:left="360"/>
        <w:rPr>
          <w:b/>
        </w:rPr>
      </w:pPr>
    </w:p>
    <w:p w:rsidR="00030AD3" w:rsidRDefault="00030AD3" w:rsidP="00F82B82">
      <w:pPr>
        <w:pStyle w:val="Listenabsatz"/>
        <w:ind w:left="360"/>
      </w:pPr>
      <w:r w:rsidRPr="00955FBB">
        <w:t>Es scheint</w:t>
      </w:r>
      <w:r w:rsidR="00A9131D">
        <w:t xml:space="preserve"> mir</w:t>
      </w:r>
      <w:r w:rsidRPr="00955FBB">
        <w:t xml:space="preserve"> </w:t>
      </w:r>
      <w:r w:rsidRPr="00F82B82">
        <w:t>nötig,</w:t>
      </w:r>
      <w:r w:rsidR="00A9131D">
        <w:t xml:space="preserve"> auch</w:t>
      </w:r>
      <w:r w:rsidRPr="00F82B82">
        <w:t xml:space="preserve"> zur Themenwahl etwas zu sagen, ist </w:t>
      </w:r>
      <w:r w:rsidR="00F82B82">
        <w:t>das Thema</w:t>
      </w:r>
      <w:r w:rsidR="006A0944">
        <w:t xml:space="preserve"> doch</w:t>
      </w:r>
      <w:r w:rsidR="00F82B82">
        <w:t xml:space="preserve"> </w:t>
      </w:r>
      <w:r w:rsidRPr="00F82B82">
        <w:t>ausgesprochen weitlä</w:t>
      </w:r>
      <w:r w:rsidR="00F82B82">
        <w:t xml:space="preserve">ufig, vielschichtig und komplex und überdies </w:t>
      </w:r>
      <w:r>
        <w:t xml:space="preserve">kat‘ exochen </w:t>
      </w:r>
      <w:r w:rsidRPr="00F82B82">
        <w:t>inter-, ja transdisziplinär</w:t>
      </w:r>
      <w:r w:rsidR="00F82B82">
        <w:t>.</w:t>
      </w:r>
      <w:r w:rsidRPr="00F82B82">
        <w:t xml:space="preserve"> </w:t>
      </w:r>
      <w:r w:rsidR="00F82B82">
        <w:t>Es</w:t>
      </w:r>
      <w:r w:rsidRPr="00F82B82">
        <w:t xml:space="preserve"> kann gar </w:t>
      </w:r>
      <w:r w:rsidR="00F82B82">
        <w:t>nicht anders</w:t>
      </w:r>
      <w:r w:rsidR="006A0944">
        <w:t xml:space="preserve"> behandelt werden,</w:t>
      </w:r>
      <w:r w:rsidR="00F82B82">
        <w:t xml:space="preserve"> als durch ein Zusammenwirken </w:t>
      </w:r>
      <w:r w:rsidR="00A9131D">
        <w:t>verschiedener</w:t>
      </w:r>
      <w:r w:rsidR="00F82B82">
        <w:t xml:space="preserve"> Disziplinen: </w:t>
      </w:r>
      <w:r w:rsidR="00C60045">
        <w:t>A</w:t>
      </w:r>
      <w:r w:rsidR="00F82B82">
        <w:t xml:space="preserve">usgehend von der Rechtsgeschichte, auch aus dem Blickwinkel von Alter Geschichte und Altorientalistik und </w:t>
      </w:r>
      <w:r w:rsidR="006A0944">
        <w:t xml:space="preserve">darüber hinaus </w:t>
      </w:r>
      <w:r w:rsidR="00F82B82">
        <w:t xml:space="preserve">der Religionswissenschaft. </w:t>
      </w:r>
      <w:r w:rsidRPr="00F82B82">
        <w:t>Wir ver</w:t>
      </w:r>
      <w:r w:rsidR="006A0944">
        <w:softHyphen/>
      </w:r>
      <w:r w:rsidRPr="00F82B82">
        <w:t>suchen</w:t>
      </w:r>
      <w:r>
        <w:t xml:space="preserve"> dieser Tatsache, wenn auch unvollkommen, gerecht zu werden!</w:t>
      </w:r>
      <w:r w:rsidR="00C60045">
        <w:rPr>
          <w:rStyle w:val="Funotenzeichen"/>
        </w:rPr>
        <w:footnoteReference w:id="14"/>
      </w:r>
      <w:r>
        <w:t xml:space="preserve"> – </w:t>
      </w:r>
      <w:r w:rsidR="006A0944">
        <w:t>Denn s</w:t>
      </w:r>
      <w:r>
        <w:t xml:space="preserve">o wie das </w:t>
      </w:r>
      <w:r w:rsidRPr="006A0944">
        <w:t>Naturerlebnis</w:t>
      </w:r>
      <w:r>
        <w:t xml:space="preserve"> ein Ganzheits</w:t>
      </w:r>
      <w:r>
        <w:softHyphen/>
        <w:t xml:space="preserve">erlebnis ist, das alle unsere Sinne berührt, sollte </w:t>
      </w:r>
      <w:r w:rsidRPr="006A0944">
        <w:t>Wissenschaft</w:t>
      </w:r>
      <w:r>
        <w:t xml:space="preserve"> über den eigenen Teller</w:t>
      </w:r>
      <w:r>
        <w:softHyphen/>
        <w:t xml:space="preserve">rand hinausschauen und die Welt als Ganze </w:t>
      </w:r>
      <w:r w:rsidR="006A0944">
        <w:t xml:space="preserve">– was heißt: auch mit den Augen anderer Disziplinen – </w:t>
      </w:r>
      <w:r>
        <w:t>betrachten</w:t>
      </w:r>
      <w:r w:rsidR="006A0944">
        <w:t>. A</w:t>
      </w:r>
      <w:r>
        <w:t xml:space="preserve">uch methodisch </w:t>
      </w:r>
      <w:r w:rsidR="006A0944">
        <w:t xml:space="preserve">sind von </w:t>
      </w:r>
      <w:r>
        <w:t>unter</w:t>
      </w:r>
      <w:r>
        <w:softHyphen/>
        <w:t xml:space="preserve">schiedlichen Blickwinkeln </w:t>
      </w:r>
      <w:r w:rsidR="006A0944">
        <w:t>aus Grenzüberschreitungen zu wagen</w:t>
      </w:r>
      <w:r>
        <w:t xml:space="preserve">! – Wir versuchen </w:t>
      </w:r>
      <w:r w:rsidRPr="006A0944">
        <w:t>das seit 2004</w:t>
      </w:r>
      <w:r>
        <w:t xml:space="preserve"> vom Standort der Rechts</w:t>
      </w:r>
      <w:r>
        <w:softHyphen/>
        <w:t>geschichte aus und haben davon persönli</w:t>
      </w:r>
      <w:r w:rsidR="00F82B82">
        <w:t>ch und fachlich profitiert. Wir</w:t>
      </w:r>
      <w:r>
        <w:t xml:space="preserve"> hoffen, dass dies auch dieses Mal gelingt.</w:t>
      </w:r>
    </w:p>
    <w:p w:rsidR="00F666C7" w:rsidRDefault="00F666C7" w:rsidP="00F82B82">
      <w:pPr>
        <w:pStyle w:val="Listenabsatz"/>
        <w:ind w:left="360"/>
      </w:pPr>
    </w:p>
    <w:p w:rsidR="00F666C7" w:rsidRPr="00F82B82" w:rsidRDefault="00F666C7" w:rsidP="00F666C7">
      <w:pPr>
        <w:numPr>
          <w:ilvl w:val="0"/>
          <w:numId w:val="16"/>
        </w:numPr>
        <w:spacing w:after="240" w:line="120" w:lineRule="atLeast"/>
        <w:rPr>
          <w:b/>
        </w:rPr>
      </w:pPr>
      <w:r>
        <w:t xml:space="preserve">Dazu kommt: Bisherige </w:t>
      </w:r>
      <w:r w:rsidRPr="00F666C7">
        <w:rPr>
          <w:i/>
        </w:rPr>
        <w:t>Stellungnahmen</w:t>
      </w:r>
      <w:r>
        <w:t xml:space="preserve"> und </w:t>
      </w:r>
      <w:r w:rsidRPr="00F666C7">
        <w:rPr>
          <w:i/>
        </w:rPr>
        <w:t>Positionierungen</w:t>
      </w:r>
      <w:r>
        <w:t xml:space="preserve"> zur Frage</w:t>
      </w:r>
      <w:r w:rsidR="00C60045">
        <w:t xml:space="preserve"> des Entstehens </w:t>
      </w:r>
      <w:r>
        <w:t xml:space="preserve">von </w:t>
      </w:r>
      <w:r w:rsidRPr="00F666C7">
        <w:rPr>
          <w:i/>
        </w:rPr>
        <w:t>Perso</w:t>
      </w:r>
      <w:r w:rsidR="006C62B1">
        <w:rPr>
          <w:i/>
        </w:rPr>
        <w:softHyphen/>
      </w:r>
      <w:r w:rsidRPr="00F666C7">
        <w:rPr>
          <w:i/>
        </w:rPr>
        <w:t>nalität</w:t>
      </w:r>
      <w:r>
        <w:t xml:space="preserve"> und </w:t>
      </w:r>
      <w:r w:rsidRPr="00F666C7">
        <w:rPr>
          <w:i/>
        </w:rPr>
        <w:t>Individualisierung</w:t>
      </w:r>
      <w:r>
        <w:t xml:space="preserve"> sind sehr unterschiedlich ausgefallen, womit ich auf das weite Spektrum von Einordnungsversuchen anspiele. </w:t>
      </w:r>
      <w:r w:rsidR="00FC195E">
        <w:t>Sie</w:t>
      </w:r>
      <w:r>
        <w:t xml:space="preserve"> reichen von der Negierung individueller und kollektiver Rechtspersönlichkeit in der Antike,</w:t>
      </w:r>
      <w:r>
        <w:rPr>
          <w:rStyle w:val="Funotenzeichen"/>
        </w:rPr>
        <w:footnoteReference w:id="15"/>
      </w:r>
      <w:r>
        <w:t xml:space="preserve"> über Zwischen</w:t>
      </w:r>
      <w:r w:rsidR="006C62B1">
        <w:softHyphen/>
      </w:r>
      <w:r>
        <w:t xml:space="preserve">stufen bis hin zu einem – cum grano salis – </w:t>
      </w:r>
      <w:r w:rsidR="00C60045">
        <w:t xml:space="preserve">nahezu </w:t>
      </w:r>
      <w:r>
        <w:t>modernen Verständnis.</w:t>
      </w:r>
      <w:r>
        <w:rPr>
          <w:rStyle w:val="Funotenzeichen"/>
        </w:rPr>
        <w:footnoteReference w:id="16"/>
      </w:r>
      <w:r>
        <w:t xml:space="preserve"> </w:t>
      </w:r>
      <w:r w:rsidR="00C60045">
        <w:t>– Zu vermeiden gilt es dabei sowohl den Fehler einer unbedachten Übertragung moderner Vorstellungen auf die Antike, wie – auf der anderen Seite – eine Unterschätzung der antiken Entwicklung.</w:t>
      </w:r>
      <w:r w:rsidR="00C60045">
        <w:rPr>
          <w:rStyle w:val="Funotenzeichen"/>
        </w:rPr>
        <w:footnoteReference w:id="17"/>
      </w:r>
      <w:r w:rsidR="00C60045">
        <w:t xml:space="preserve">  </w:t>
      </w:r>
      <w:r>
        <w:br/>
      </w:r>
    </w:p>
    <w:p w:rsidR="00030AD3" w:rsidRDefault="006C62B1" w:rsidP="00B10FD0">
      <w:pPr>
        <w:numPr>
          <w:ilvl w:val="0"/>
          <w:numId w:val="16"/>
        </w:numPr>
        <w:spacing w:after="240" w:line="120" w:lineRule="atLeast"/>
      </w:pPr>
      <w:r>
        <w:lastRenderedPageBreak/>
        <w:t>I</w:t>
      </w:r>
      <w:r w:rsidR="00030AD3">
        <w:t>m Alltag</w:t>
      </w:r>
      <w:r>
        <w:t xml:space="preserve"> gehen wir – </w:t>
      </w:r>
      <w:r w:rsidR="00030AD3">
        <w:t xml:space="preserve">auch fachlich – meist </w:t>
      </w:r>
      <w:r>
        <w:t>zu</w:t>
      </w:r>
      <w:r w:rsidR="00030AD3">
        <w:t xml:space="preserve"> selbstverständlich von der </w:t>
      </w:r>
      <w:r w:rsidR="00030AD3" w:rsidRPr="006C62B1">
        <w:rPr>
          <w:i/>
        </w:rPr>
        <w:t>Existenz des Individuums</w:t>
      </w:r>
      <w:r w:rsidR="00030AD3">
        <w:t xml:space="preserve"> aus, obwohl die Entwicklung zur </w:t>
      </w:r>
      <w:r w:rsidR="00030AD3" w:rsidRPr="006C62B1">
        <w:rPr>
          <w:i/>
        </w:rPr>
        <w:t>Person</w:t>
      </w:r>
      <w:r w:rsidR="00030AD3">
        <w:t xml:space="preserve"> und </w:t>
      </w:r>
      <w:r>
        <w:t xml:space="preserve">noch mehr zur </w:t>
      </w:r>
      <w:r w:rsidR="00030AD3" w:rsidRPr="006C62B1">
        <w:rPr>
          <w:i/>
        </w:rPr>
        <w:t>Rechtsperson</w:t>
      </w:r>
      <w:r w:rsidR="00030AD3">
        <w:rPr>
          <w:b/>
        </w:rPr>
        <w:t xml:space="preserve"> </w:t>
      </w:r>
      <w:r w:rsidR="00030AD3">
        <w:t>schwierig und langwierig war.</w:t>
      </w:r>
      <w:r w:rsidR="00030AD3">
        <w:rPr>
          <w:rStyle w:val="Funotenzeichen"/>
        </w:rPr>
        <w:footnoteReference w:id="18"/>
      </w:r>
      <w:r w:rsidR="00030AD3">
        <w:t xml:space="preserve"> </w:t>
      </w:r>
    </w:p>
    <w:p w:rsidR="00151F56" w:rsidRDefault="00151F56" w:rsidP="00151F56">
      <w:pPr>
        <w:numPr>
          <w:ilvl w:val="0"/>
          <w:numId w:val="16"/>
        </w:numPr>
        <w:spacing w:after="240" w:line="120" w:lineRule="atLeast"/>
      </w:pPr>
      <w:r w:rsidRPr="00151F56">
        <w:t>Es geht um d</w:t>
      </w:r>
      <w:r>
        <w:t>ie Freiset</w:t>
      </w:r>
      <w:r w:rsidRPr="00151F56">
        <w:t>zung der Person, des Individuums aus Familie und Verwandtschaft, um Polisbürgern die Mitwirkung an den Einrichtungen der (jungen) Polis zu ermöglichen! Das geschah in Teilschritten, kleineren und größeren! Im ‚Prozeß‘ der Emergenz tritt der Einzelne (Mensch) aus den ihn umgebenden kollektiven gesellschaftlichen Strukturen (Familie, Verwandtschaft, Clan etc.) schrittweise hervor und wählt – als „das Tier, das sich nur in Gesellschaft vereinzeln kann“ (Karl Marx) – ergänzend neue kollektive Strukturen für seine politischen, ökonomischen und kulturellen Ambitionen. Dies verwirklicht sich erstmals in der griechischen Polis und tritt neben die alten Strukturen</w:t>
      </w:r>
      <w:r>
        <w:t>.</w:t>
      </w:r>
    </w:p>
    <w:p w:rsidR="00030AD3" w:rsidRDefault="00030AD3" w:rsidP="00B10FD0">
      <w:pPr>
        <w:numPr>
          <w:ilvl w:val="0"/>
          <w:numId w:val="16"/>
        </w:numPr>
        <w:spacing w:after="240" w:line="120" w:lineRule="atLeast"/>
      </w:pPr>
      <w:r>
        <w:t xml:space="preserve">Im </w:t>
      </w:r>
      <w:r w:rsidRPr="006C62B1">
        <w:rPr>
          <w:i/>
        </w:rPr>
        <w:t>Prozeß der Individualisierung</w:t>
      </w:r>
      <w:r>
        <w:t xml:space="preserve"> überlagerten sich mehrere </w:t>
      </w:r>
      <w:r w:rsidR="00821FAA">
        <w:t>bedeutende</w:t>
      </w:r>
      <w:r>
        <w:t xml:space="preserve"> gesellschaft</w:t>
      </w:r>
      <w:r>
        <w:softHyphen/>
        <w:t xml:space="preserve">liche </w:t>
      </w:r>
      <w:r w:rsidRPr="00821FAA">
        <w:t>Entwicklungen</w:t>
      </w:r>
      <w:r>
        <w:t>, die bis heute nicht</w:t>
      </w:r>
      <w:r w:rsidR="00821FAA">
        <w:t xml:space="preserve"> (völlig)</w:t>
      </w:r>
      <w:r>
        <w:t xml:space="preserve"> abgeschlossen sind. – In der </w:t>
      </w:r>
      <w:r w:rsidRPr="00821FAA">
        <w:t>Antike</w:t>
      </w:r>
      <w:r>
        <w:t xml:space="preserve"> </w:t>
      </w:r>
      <w:r w:rsidR="00C60045">
        <w:t xml:space="preserve">liefen </w:t>
      </w:r>
      <w:r>
        <w:t xml:space="preserve">vornehmlich folgende </w:t>
      </w:r>
      <w:r w:rsidRPr="00821FAA">
        <w:rPr>
          <w:i/>
        </w:rPr>
        <w:t>Entwicklungsschritte</w:t>
      </w:r>
      <w:r>
        <w:t xml:space="preserve"> </w:t>
      </w:r>
      <w:r w:rsidR="00C60045">
        <w:t>zeitverschoben ab</w:t>
      </w:r>
      <w:r>
        <w:t>:</w:t>
      </w:r>
    </w:p>
    <w:p w:rsidR="00030AD3" w:rsidRDefault="00030AD3" w:rsidP="00B97CA7">
      <w:pPr>
        <w:pStyle w:val="Listenabsatz"/>
        <w:numPr>
          <w:ilvl w:val="1"/>
          <w:numId w:val="2"/>
        </w:numPr>
      </w:pPr>
      <w:r>
        <w:t xml:space="preserve">Von </w:t>
      </w:r>
      <w:r w:rsidRPr="00821FAA">
        <w:rPr>
          <w:i/>
        </w:rPr>
        <w:t>Unfreiheit</w:t>
      </w:r>
      <w:r>
        <w:t xml:space="preserve"> zu </w:t>
      </w:r>
      <w:r>
        <w:sym w:font="Wingdings 3" w:char="F022"/>
      </w:r>
      <w:r>
        <w:t xml:space="preserve"> </w:t>
      </w:r>
      <w:r w:rsidRPr="00821FAA">
        <w:rPr>
          <w:i/>
        </w:rPr>
        <w:t>Freiheit</w:t>
      </w:r>
      <w:r>
        <w:t xml:space="preserve">; </w:t>
      </w:r>
    </w:p>
    <w:p w:rsidR="00030AD3" w:rsidRDefault="00030AD3" w:rsidP="00B97CA7">
      <w:pPr>
        <w:pStyle w:val="Listenabsatz"/>
        <w:numPr>
          <w:ilvl w:val="1"/>
          <w:numId w:val="2"/>
        </w:numPr>
      </w:pPr>
      <w:r>
        <w:t xml:space="preserve">von </w:t>
      </w:r>
      <w:r w:rsidRPr="00821FAA">
        <w:rPr>
          <w:i/>
        </w:rPr>
        <w:t>Ungleichheit</w:t>
      </w:r>
      <w:r>
        <w:t xml:space="preserve"> zu </w:t>
      </w:r>
      <w:r>
        <w:sym w:font="Wingdings 3" w:char="F022"/>
      </w:r>
      <w:r>
        <w:t xml:space="preserve"> </w:t>
      </w:r>
      <w:r w:rsidRPr="00821FAA">
        <w:rPr>
          <w:i/>
        </w:rPr>
        <w:t>Gleichheit</w:t>
      </w:r>
      <w:r>
        <w:t xml:space="preserve"> (und darin eingeschlossen, die uns bis heute beschäftigende </w:t>
      </w:r>
      <w:r>
        <w:sym w:font="Wingdings 3" w:char="F022"/>
      </w:r>
      <w:r>
        <w:t xml:space="preserve"> </w:t>
      </w:r>
      <w:r w:rsidRPr="00821FAA">
        <w:rPr>
          <w:i/>
        </w:rPr>
        <w:t>Geschlechterbeziehung</w:t>
      </w:r>
      <w:r>
        <w:t xml:space="preserve">) sowie die </w:t>
      </w:r>
    </w:p>
    <w:p w:rsidR="00030AD3" w:rsidRDefault="00030AD3" w:rsidP="00B97CA7">
      <w:pPr>
        <w:pStyle w:val="Listenabsatz"/>
        <w:numPr>
          <w:ilvl w:val="1"/>
          <w:numId w:val="2"/>
        </w:numPr>
      </w:pPr>
      <w:r>
        <w:t xml:space="preserve">Genese </w:t>
      </w:r>
      <w:r w:rsidRPr="00821FAA">
        <w:t xml:space="preserve">vom </w:t>
      </w:r>
      <w:r w:rsidRPr="00821FAA">
        <w:rPr>
          <w:i/>
        </w:rPr>
        <w:t>politisch-gesellschaftliche</w:t>
      </w:r>
      <w:r w:rsidR="00821FAA">
        <w:rPr>
          <w:i/>
        </w:rPr>
        <w:t xml:space="preserve">n </w:t>
      </w:r>
      <w:r w:rsidRPr="00821FAA">
        <w:rPr>
          <w:i/>
        </w:rPr>
        <w:t>Objekt</w:t>
      </w:r>
      <w:r>
        <w:t xml:space="preserve"> hin zum </w:t>
      </w:r>
      <w:r w:rsidRPr="00821FAA">
        <w:rPr>
          <w:i/>
        </w:rPr>
        <w:t>Subjekt</w:t>
      </w:r>
      <w:r>
        <w:t xml:space="preserve"> und dessen</w:t>
      </w:r>
      <w:r w:rsidR="00821FAA">
        <w:t xml:space="preserve"> </w:t>
      </w:r>
      <w:r w:rsidR="00C60045">
        <w:t>mehr oder weniger weitgezogener</w:t>
      </w:r>
      <w:r>
        <w:t xml:space="preserve"> </w:t>
      </w:r>
      <w:r>
        <w:sym w:font="Wingdings 3" w:char="F022"/>
      </w:r>
      <w:r>
        <w:t xml:space="preserve"> </w:t>
      </w:r>
      <w:r w:rsidRPr="00821FAA">
        <w:rPr>
          <w:i/>
        </w:rPr>
        <w:t>politischer Teil</w:t>
      </w:r>
      <w:r w:rsidRPr="00821FAA">
        <w:rPr>
          <w:i/>
        </w:rPr>
        <w:softHyphen/>
        <w:t>habe</w:t>
      </w:r>
      <w:r>
        <w:t xml:space="preserve">. </w:t>
      </w:r>
    </w:p>
    <w:p w:rsidR="00030AD3" w:rsidRDefault="00030AD3" w:rsidP="00167216">
      <w:pPr>
        <w:pStyle w:val="Listenabsatz"/>
        <w:ind w:left="709"/>
      </w:pPr>
      <w:r>
        <w:t>Erstmals</w:t>
      </w:r>
      <w:r w:rsidR="00C60045">
        <w:t xml:space="preserve"> bewußt und gewollt</w:t>
      </w:r>
      <w:r>
        <w:t xml:space="preserve"> verwirklicht wurden diese bis heute gültigen politisch-recht</w:t>
      </w:r>
      <w:r>
        <w:softHyphen/>
        <w:t xml:space="preserve">lichen </w:t>
      </w:r>
      <w:r w:rsidRPr="00821FAA">
        <w:rPr>
          <w:i/>
        </w:rPr>
        <w:t>Zentral</w:t>
      </w:r>
      <w:r w:rsidRPr="00821FAA">
        <w:rPr>
          <w:i/>
        </w:rPr>
        <w:softHyphen/>
        <w:t xml:space="preserve">werte </w:t>
      </w:r>
      <w:r>
        <w:t xml:space="preserve">durch </w:t>
      </w:r>
      <w:r w:rsidRPr="00821FAA">
        <w:rPr>
          <w:i/>
        </w:rPr>
        <w:t>Solon</w:t>
      </w:r>
      <w:r>
        <w:t>!</w:t>
      </w:r>
      <w:r>
        <w:rPr>
          <w:rStyle w:val="Funotenzeichen"/>
        </w:rPr>
        <w:footnoteReference w:id="19"/>
      </w:r>
      <w:r>
        <w:t xml:space="preserve"> – Als Ergebnis der von Solon ins Werk gesetzten politisch-öffentlichrechtlichen, privatrechtlichen und wirtschaftlichen (man kann sagen: </w:t>
      </w:r>
      <w:r w:rsidRPr="00E864BF">
        <w:t>gesamt</w:t>
      </w:r>
      <w:r w:rsidR="00E864BF">
        <w:softHyphen/>
      </w:r>
      <w:r w:rsidRPr="00E864BF">
        <w:t>gesellschaftlichen</w:t>
      </w:r>
      <w:r>
        <w:t>) Gesetzgebungsmaßnah</w:t>
      </w:r>
      <w:r>
        <w:softHyphen/>
        <w:t xml:space="preserve">men, </w:t>
      </w:r>
      <w:r w:rsidR="00E864BF">
        <w:t>entstanden</w:t>
      </w:r>
      <w:r>
        <w:t xml:space="preserve"> </w:t>
      </w:r>
      <w:r w:rsidRPr="00E864BF">
        <w:t>erstmals</w:t>
      </w:r>
      <w:r w:rsidRPr="0097162A">
        <w:rPr>
          <w:b/>
        </w:rPr>
        <w:t xml:space="preserve"> </w:t>
      </w:r>
      <w:r w:rsidRPr="00FA732B">
        <w:t>in der</w:t>
      </w:r>
      <w:r w:rsidRPr="0097162A">
        <w:rPr>
          <w:b/>
        </w:rPr>
        <w:t xml:space="preserve"> </w:t>
      </w:r>
      <w:r w:rsidRPr="00E864BF">
        <w:t>Mensch</w:t>
      </w:r>
      <w:r w:rsidR="00E864BF">
        <w:softHyphen/>
      </w:r>
      <w:r w:rsidRPr="00E864BF">
        <w:t>heitsge</w:t>
      </w:r>
      <w:r w:rsidRPr="00E864BF">
        <w:softHyphen/>
        <w:t>schichte</w:t>
      </w:r>
      <w:r>
        <w:t xml:space="preserve"> die Umrisse des ‚</w:t>
      </w:r>
      <w:r w:rsidRPr="00E864BF">
        <w:rPr>
          <w:i/>
        </w:rPr>
        <w:t>mo</w:t>
      </w:r>
      <w:r w:rsidRPr="00E864BF">
        <w:rPr>
          <w:i/>
        </w:rPr>
        <w:softHyphen/>
        <w:t>dernen</w:t>
      </w:r>
      <w:r w:rsidRPr="00E864BF">
        <w:t>’</w:t>
      </w:r>
      <w:r>
        <w:t xml:space="preserve"> </w:t>
      </w:r>
      <w:r w:rsidRPr="00E864BF">
        <w:rPr>
          <w:i/>
        </w:rPr>
        <w:t>(Rechts)Subjekts</w:t>
      </w:r>
      <w:r>
        <w:t xml:space="preserve">, des </w:t>
      </w:r>
      <w:r w:rsidRPr="00E864BF">
        <w:rPr>
          <w:i/>
        </w:rPr>
        <w:t>Individuums</w:t>
      </w:r>
      <w:r>
        <w:t>/</w:t>
      </w:r>
      <w:r>
        <w:sym w:font="Greek Old Face C" w:char="F0A5"/>
      </w:r>
      <w:r>
        <w:sym w:font="Greek Old Face C" w:char="F074"/>
      </w:r>
      <w:r>
        <w:sym w:font="Greek Old Face C" w:char="F06F"/>
      </w:r>
      <w:r>
        <w:sym w:font="Greek Old Face C" w:char="F06D"/>
      </w:r>
      <w:r>
        <w:sym w:font="Greek Old Face C" w:char="F06F"/>
      </w:r>
      <w:r>
        <w:sym w:font="Greek Old Face C" w:char="F06A"/>
      </w:r>
      <w:r w:rsidR="00E864BF">
        <w:t>; und zwar</w:t>
      </w:r>
      <w:r>
        <w:t xml:space="preserve"> in seiner politisch-gesell</w:t>
      </w:r>
      <w:r>
        <w:softHyphen/>
        <w:t>schaftlichen und rechtspersönlich</w:t>
      </w:r>
      <w:r w:rsidR="00E864BF">
        <w:t xml:space="preserve">en </w:t>
      </w:r>
      <w:r>
        <w:t xml:space="preserve">Gestalt. </w:t>
      </w:r>
    </w:p>
    <w:p w:rsidR="00030AD3" w:rsidRDefault="00030AD3" w:rsidP="00031076">
      <w:pPr>
        <w:pStyle w:val="Listenabsatz"/>
      </w:pPr>
      <w:r>
        <w:t xml:space="preserve">   </w:t>
      </w:r>
    </w:p>
    <w:p w:rsidR="00030AD3" w:rsidRDefault="00030AD3" w:rsidP="00FA732B">
      <w:pPr>
        <w:numPr>
          <w:ilvl w:val="0"/>
          <w:numId w:val="16"/>
        </w:numPr>
        <w:spacing w:after="240" w:line="120" w:lineRule="atLeast"/>
      </w:pPr>
      <w:r>
        <w:t>Diese sich überlagernden und ungleichzeitig ablaufenden kulturellen Prozesse spie</w:t>
      </w:r>
      <w:r>
        <w:softHyphen/>
        <w:t xml:space="preserve">geln sich in </w:t>
      </w:r>
      <w:r w:rsidRPr="00E864BF">
        <w:rPr>
          <w:i/>
        </w:rPr>
        <w:t>Kunst, Religion, Wissenschaft</w:t>
      </w:r>
      <w:r w:rsidR="00E864BF" w:rsidRPr="00E864BF">
        <w:rPr>
          <w:i/>
        </w:rPr>
        <w:t>,</w:t>
      </w:r>
      <w:r w:rsidRPr="00E864BF">
        <w:rPr>
          <w:i/>
        </w:rPr>
        <w:t xml:space="preserve"> </w:t>
      </w:r>
      <w:r w:rsidR="00E864BF" w:rsidRPr="00E864BF">
        <w:rPr>
          <w:i/>
        </w:rPr>
        <w:t xml:space="preserve">Wirtschaft </w:t>
      </w:r>
      <w:r w:rsidRPr="00E864BF">
        <w:t>und</w:t>
      </w:r>
      <w:r w:rsidRPr="00E864BF">
        <w:rPr>
          <w:i/>
        </w:rPr>
        <w:t xml:space="preserve"> Recht</w:t>
      </w:r>
      <w:r>
        <w:t>. – Wir haben es bei der ‚</w:t>
      </w:r>
      <w:r w:rsidRPr="00E864BF">
        <w:t>Individua</w:t>
      </w:r>
      <w:r w:rsidRPr="00E864BF">
        <w:softHyphen/>
        <w:t>lisierung’</w:t>
      </w:r>
      <w:r>
        <w:t xml:space="preserve"> mit einem </w:t>
      </w:r>
      <w:r w:rsidRPr="00E864BF">
        <w:t>zentralen gesellschaftlichen Vorgang</w:t>
      </w:r>
      <w:r>
        <w:t xml:space="preserve"> zu tun, bei dem es sich </w:t>
      </w:r>
      <w:r w:rsidR="007213B7">
        <w:t xml:space="preserve">– </w:t>
      </w:r>
      <w:r>
        <w:t xml:space="preserve">neben der </w:t>
      </w:r>
      <w:r w:rsidRPr="00E864BF">
        <w:rPr>
          <w:i/>
        </w:rPr>
        <w:t>Staatsentstehung</w:t>
      </w:r>
      <w:r w:rsidR="00E864BF">
        <w:t>!</w:t>
      </w:r>
      <w:r w:rsidR="007213B7">
        <w:t xml:space="preserve"> – </w:t>
      </w:r>
      <w:r>
        <w:t xml:space="preserve"> um die wohl bedeutendste gesellschaft</w:t>
      </w:r>
      <w:r>
        <w:softHyphen/>
        <w:t>liche Entwicklung überhaupt handelt! – Das v</w:t>
      </w:r>
      <w:r w:rsidR="00E864BF">
        <w:t xml:space="preserve">erdient angemessene </w:t>
      </w:r>
      <w:r w:rsidR="007213B7">
        <w:t xml:space="preserve">wissenschaftliche </w:t>
      </w:r>
      <w:r w:rsidR="00E864BF">
        <w:t xml:space="preserve">Beachtung, </w:t>
      </w:r>
      <w:r>
        <w:t>an der es bisher fehlt!</w:t>
      </w:r>
      <w:r>
        <w:rPr>
          <w:rStyle w:val="Funotenzeichen"/>
        </w:rPr>
        <w:footnoteReference w:id="20"/>
      </w:r>
    </w:p>
    <w:p w:rsidR="00030AD3" w:rsidRDefault="00030AD3" w:rsidP="00D13B21">
      <w:pPr>
        <w:pStyle w:val="Listenabsatz"/>
        <w:numPr>
          <w:ilvl w:val="1"/>
          <w:numId w:val="2"/>
        </w:numPr>
      </w:pPr>
      <w:r>
        <w:t xml:space="preserve">Die </w:t>
      </w:r>
      <w:r w:rsidRPr="00031076">
        <w:t>politisch-rechtliche</w:t>
      </w:r>
      <w:r>
        <w:t xml:space="preserve"> </w:t>
      </w:r>
      <w:r w:rsidRPr="00AB2EED">
        <w:rPr>
          <w:i/>
        </w:rPr>
        <w:t>Entwicklung zur (Rechts)Person</w:t>
      </w:r>
      <w:r>
        <w:t xml:space="preserve"> in der </w:t>
      </w:r>
      <w:r w:rsidRPr="00AB2EED">
        <w:t>Antike</w:t>
      </w:r>
      <w:r>
        <w:t xml:space="preserve"> war aber </w:t>
      </w:r>
      <w:r w:rsidR="007213B7">
        <w:t xml:space="preserve">– wie wir wissen – </w:t>
      </w:r>
      <w:r>
        <w:t xml:space="preserve">noch </w:t>
      </w:r>
      <w:r w:rsidRPr="00AB2EED">
        <w:rPr>
          <w:i/>
        </w:rPr>
        <w:t>keine vollständige</w:t>
      </w:r>
      <w:r>
        <w:t>, betraf sie doch</w:t>
      </w:r>
      <w:r w:rsidR="00AB2EED">
        <w:t xml:space="preserve"> umfassend</w:t>
      </w:r>
      <w:r>
        <w:t xml:space="preserve"> nur </w:t>
      </w:r>
      <w:r w:rsidRPr="00AB2EED">
        <w:rPr>
          <w:i/>
        </w:rPr>
        <w:t>männliche Bürger</w:t>
      </w:r>
      <w:r>
        <w:t xml:space="preserve">, während </w:t>
      </w:r>
      <w:r w:rsidRPr="00AB2EED">
        <w:rPr>
          <w:i/>
        </w:rPr>
        <w:t>Frauen</w:t>
      </w:r>
      <w:r>
        <w:t xml:space="preserve">  </w:t>
      </w:r>
      <w:r w:rsidR="007213B7">
        <w:t>(</w:t>
      </w:r>
      <w:r>
        <w:t>von Einzelfällen abgesehen</w:t>
      </w:r>
      <w:r w:rsidR="007213B7">
        <w:t>)</w:t>
      </w:r>
      <w:r>
        <w:t xml:space="preserve"> – erst ‚unter </w:t>
      </w:r>
      <w:r>
        <w:lastRenderedPageBreak/>
        <w:t>den Bedingungen der Moder</w:t>
      </w:r>
      <w:r>
        <w:softHyphen/>
        <w:t xml:space="preserve">ne’ zu voller </w:t>
      </w:r>
      <w:r w:rsidR="00AB2EED">
        <w:t xml:space="preserve">rechtlicher </w:t>
      </w:r>
      <w:r>
        <w:t>Individualität gelangten.</w:t>
      </w:r>
      <w:r>
        <w:rPr>
          <w:rStyle w:val="Funotenzeichen"/>
        </w:rPr>
        <w:footnoteReference w:id="21"/>
      </w:r>
      <w:r>
        <w:t xml:space="preserve"> </w:t>
      </w:r>
      <w:r w:rsidR="007213B7">
        <w:t>Aber auch in der Antike und bei den Griechen gab es Sonderentwicklungen. Bei den Griechen hatten etwa Spartas Frauen eine weithin egalitäre gesellschaftlich-rechtliche Stellung.</w:t>
      </w:r>
      <w:r w:rsidR="007213B7">
        <w:rPr>
          <w:rStyle w:val="Funotenzeichen"/>
        </w:rPr>
        <w:footnoteReference w:id="22"/>
      </w:r>
      <w:r w:rsidR="007213B7">
        <w:t xml:space="preserve"> </w:t>
      </w:r>
      <w:r>
        <w:t xml:space="preserve">– </w:t>
      </w:r>
      <w:r w:rsidRPr="007A3EA4">
        <w:t xml:space="preserve">Aber die </w:t>
      </w:r>
      <w:r w:rsidR="007213B7">
        <w:t xml:space="preserve">rechtliche </w:t>
      </w:r>
      <w:r w:rsidRPr="00C51324">
        <w:t>Ent</w:t>
      </w:r>
      <w:r w:rsidR="00AB2EED">
        <w:softHyphen/>
      </w:r>
      <w:r w:rsidRPr="00C51324">
        <w:t>wicklung</w:t>
      </w:r>
      <w:r w:rsidRPr="007A3EA4">
        <w:rPr>
          <w:b/>
        </w:rPr>
        <w:t xml:space="preserve"> </w:t>
      </w:r>
      <w:r w:rsidRPr="007A3EA4">
        <w:t>in der Antike</w:t>
      </w:r>
      <w:r>
        <w:t xml:space="preserve"> war bereits </w:t>
      </w:r>
      <w:r w:rsidRPr="00AB2EED">
        <w:t>weit fortgeschritten</w:t>
      </w:r>
      <w:r>
        <w:t xml:space="preserve">, und es ist ein </w:t>
      </w:r>
      <w:r w:rsidRPr="00AB2EED">
        <w:t>Mär</w:t>
      </w:r>
      <w:r w:rsidR="00AB2EED">
        <w:softHyphen/>
      </w:r>
      <w:r w:rsidRPr="00AB2EED">
        <w:t>chen</w:t>
      </w:r>
      <w:r>
        <w:t xml:space="preserve">, dass  </w:t>
      </w:r>
      <w:r w:rsidRPr="00AB2EED">
        <w:t>Indi</w:t>
      </w:r>
      <w:r w:rsidRPr="00AB2EED">
        <w:softHyphen/>
        <w:t>vidualisierung</w:t>
      </w:r>
      <w:r>
        <w:t xml:space="preserve"> und die Entwicklung zum </w:t>
      </w:r>
      <w:r w:rsidRPr="00AB2EED">
        <w:t>Rechts</w:t>
      </w:r>
      <w:r w:rsidRPr="00AB2EED">
        <w:softHyphen/>
        <w:t>subjekt</w:t>
      </w:r>
      <w:r>
        <w:t xml:space="preserve"> eine Leistung des </w:t>
      </w:r>
      <w:r w:rsidRPr="00AB2EED">
        <w:t>Christentums</w:t>
      </w:r>
      <w:r>
        <w:t xml:space="preserve"> oder noch </w:t>
      </w:r>
      <w:r w:rsidRPr="00AB2EED">
        <w:t>späterer Einflüsse</w:t>
      </w:r>
      <w:r>
        <w:t xml:space="preserve"> (wie der Renaissance oder der Aufklärung) waren.</w:t>
      </w:r>
      <w:r>
        <w:rPr>
          <w:rStyle w:val="Funotenzeichen"/>
        </w:rPr>
        <w:footnoteReference w:id="23"/>
      </w:r>
    </w:p>
    <w:p w:rsidR="003A5A8E" w:rsidRPr="003A5A8E" w:rsidRDefault="003A5A8E" w:rsidP="003A5A8E">
      <w:pPr>
        <w:pStyle w:val="Listenabsatz"/>
        <w:ind w:left="1440"/>
        <w:rPr>
          <w:sz w:val="20"/>
          <w:szCs w:val="20"/>
        </w:rPr>
      </w:pPr>
      <w:r w:rsidRPr="003A5A8E">
        <w:rPr>
          <w:sz w:val="20"/>
          <w:szCs w:val="20"/>
        </w:rPr>
        <w:t>Jacob Burckhardt  sieht noch sehr klar,</w:t>
      </w:r>
      <w:r w:rsidR="007A5544">
        <w:rPr>
          <w:rStyle w:val="Funotenzeichen"/>
          <w:szCs w:val="20"/>
        </w:rPr>
        <w:footnoteReference w:id="24"/>
      </w:r>
      <w:r w:rsidRPr="003A5A8E">
        <w:rPr>
          <w:sz w:val="20"/>
          <w:szCs w:val="20"/>
        </w:rPr>
        <w:t xml:space="preserve"> dass das Entstehen des Individuums in der kleini</w:t>
      </w:r>
      <w:r w:rsidR="007A5544">
        <w:rPr>
          <w:sz w:val="20"/>
          <w:szCs w:val="20"/>
        </w:rPr>
        <w:t xml:space="preserve">ta-lienischen Renaissance nicht zum </w:t>
      </w:r>
      <w:r w:rsidRPr="003A5A8E">
        <w:rPr>
          <w:sz w:val="20"/>
          <w:szCs w:val="20"/>
        </w:rPr>
        <w:t>erste</w:t>
      </w:r>
      <w:r w:rsidR="007A5544">
        <w:rPr>
          <w:sz w:val="20"/>
          <w:szCs w:val="20"/>
        </w:rPr>
        <w:t>n</w:t>
      </w:r>
      <w:r w:rsidRPr="003A5A8E">
        <w:rPr>
          <w:sz w:val="20"/>
          <w:szCs w:val="20"/>
        </w:rPr>
        <w:t xml:space="preserve"> Mal erfolgte</w:t>
      </w:r>
      <w:r w:rsidR="007A5544">
        <w:rPr>
          <w:sz w:val="20"/>
          <w:szCs w:val="20"/>
        </w:rPr>
        <w:t xml:space="preserve"> und </w:t>
      </w:r>
      <w:r w:rsidRPr="003A5A8E">
        <w:rPr>
          <w:sz w:val="20"/>
          <w:szCs w:val="20"/>
        </w:rPr>
        <w:t xml:space="preserve">sagt ausdrücklich: „So hat es sich einst erhoben der Grieche gegenüber den Barbaren, der individuelle Araber gegenüber den andern Asiaten als Rassenmenschen.“ </w:t>
      </w:r>
      <w:r w:rsidR="007A5544">
        <w:rPr>
          <w:sz w:val="20"/>
          <w:szCs w:val="20"/>
        </w:rPr>
        <w:t xml:space="preserve">– </w:t>
      </w:r>
      <w:r w:rsidRPr="003A5A8E">
        <w:rPr>
          <w:sz w:val="20"/>
          <w:szCs w:val="20"/>
        </w:rPr>
        <w:t>Es ist zutreffend, wenn Burckhardt sagt, „dass die politischen Verhältnisse hieran den stärksten Anteil gehabt haben“. Erstaunlich ist es dagegen, wie behauptet werden konnte, dass dies damals in der Renaissance zum er</w:t>
      </w:r>
      <w:r w:rsidR="007A5544">
        <w:rPr>
          <w:sz w:val="20"/>
          <w:szCs w:val="20"/>
        </w:rPr>
        <w:t xml:space="preserve">sten Mal geschehen sei; so </w:t>
      </w:r>
      <w:r w:rsidRPr="003A5A8E">
        <w:rPr>
          <w:sz w:val="20"/>
          <w:szCs w:val="20"/>
        </w:rPr>
        <w:t xml:space="preserve">Huntington. Dies zeigt aber, dass die Entwicklung </w:t>
      </w:r>
      <w:r w:rsidR="007A5544">
        <w:rPr>
          <w:sz w:val="20"/>
          <w:szCs w:val="20"/>
        </w:rPr>
        <w:t xml:space="preserve">zum Individuum und </w:t>
      </w:r>
      <w:r w:rsidRPr="003A5A8E">
        <w:rPr>
          <w:sz w:val="20"/>
          <w:szCs w:val="20"/>
        </w:rPr>
        <w:t>zur Rechts</w:t>
      </w:r>
      <w:r w:rsidR="007A5544">
        <w:rPr>
          <w:sz w:val="20"/>
          <w:szCs w:val="20"/>
        </w:rPr>
        <w:t>-</w:t>
      </w:r>
      <w:r w:rsidRPr="003A5A8E">
        <w:rPr>
          <w:sz w:val="20"/>
          <w:szCs w:val="20"/>
        </w:rPr>
        <w:t>person auch nach ihrem Ents</w:t>
      </w:r>
      <w:r w:rsidR="007A5544">
        <w:rPr>
          <w:sz w:val="20"/>
          <w:szCs w:val="20"/>
        </w:rPr>
        <w:t>tehen wieder verloren gehen konnte</w:t>
      </w:r>
      <w:r w:rsidRPr="003A5A8E">
        <w:rPr>
          <w:sz w:val="20"/>
          <w:szCs w:val="20"/>
        </w:rPr>
        <w:t xml:space="preserve">, also nichts Bleibendes ist!  </w:t>
      </w:r>
    </w:p>
    <w:p w:rsidR="00030AD3" w:rsidRDefault="00030AD3" w:rsidP="00516730">
      <w:pPr>
        <w:pStyle w:val="Listenabsatz"/>
      </w:pPr>
    </w:p>
    <w:p w:rsidR="00030AD3" w:rsidRDefault="00AB2EED" w:rsidP="00FA732B">
      <w:pPr>
        <w:pStyle w:val="Listenabsatz"/>
        <w:numPr>
          <w:ilvl w:val="1"/>
          <w:numId w:val="2"/>
        </w:numPr>
      </w:pPr>
      <w:r>
        <w:t>Für das Verständnis wichtig ist es, dass d</w:t>
      </w:r>
      <w:r w:rsidR="00030AD3">
        <w:t>ie Individualisierung</w:t>
      </w:r>
      <w:r>
        <w:t xml:space="preserve"> (nicht nur bei den Griechen)</w:t>
      </w:r>
      <w:r w:rsidR="00030AD3">
        <w:t xml:space="preserve"> durch eine politische und rechtliche </w:t>
      </w:r>
      <w:r w:rsidR="00030AD3" w:rsidRPr="00AB2EED">
        <w:rPr>
          <w:i/>
        </w:rPr>
        <w:t>Herausnahme</w:t>
      </w:r>
      <w:r w:rsidR="00030AD3">
        <w:t xml:space="preserve"> </w:t>
      </w:r>
      <w:r>
        <w:t xml:space="preserve">oder </w:t>
      </w:r>
      <w:r w:rsidR="00030AD3" w:rsidRPr="00AB2EED">
        <w:rPr>
          <w:i/>
        </w:rPr>
        <w:t>Frei</w:t>
      </w:r>
      <w:r w:rsidR="007616B3">
        <w:rPr>
          <w:i/>
        </w:rPr>
        <w:softHyphen/>
      </w:r>
      <w:r w:rsidR="00030AD3" w:rsidRPr="00AB2EED">
        <w:rPr>
          <w:i/>
        </w:rPr>
        <w:t>stellung</w:t>
      </w:r>
      <w:r w:rsidR="00030AD3">
        <w:t xml:space="preserve"> – man kann auch sagen </w:t>
      </w:r>
      <w:r w:rsidR="00030AD3" w:rsidRPr="00AB2EED">
        <w:rPr>
          <w:i/>
        </w:rPr>
        <w:t>Entflech</w:t>
      </w:r>
      <w:r w:rsidR="00030AD3" w:rsidRPr="00AB2EED">
        <w:rPr>
          <w:i/>
        </w:rPr>
        <w:softHyphen/>
        <w:t>tung</w:t>
      </w:r>
      <w:r w:rsidR="00030AD3" w:rsidRPr="004218CD">
        <w:rPr>
          <w:b/>
        </w:rPr>
        <w:t xml:space="preserve"> </w:t>
      </w:r>
      <w:r w:rsidR="00030AD3">
        <w:rPr>
          <w:b/>
        </w:rPr>
        <w:t xml:space="preserve">– </w:t>
      </w:r>
      <w:r w:rsidR="00030AD3">
        <w:t>des Einzelnen aus</w:t>
      </w:r>
      <w:r w:rsidR="00030AD3" w:rsidRPr="004218CD">
        <w:rPr>
          <w:b/>
        </w:rPr>
        <w:t xml:space="preserve"> </w:t>
      </w:r>
      <w:r w:rsidR="00030AD3" w:rsidRPr="00AB2EED">
        <w:rPr>
          <w:i/>
        </w:rPr>
        <w:t>familiär-verwandt</w:t>
      </w:r>
      <w:r w:rsidR="00030AD3" w:rsidRPr="00AB2EED">
        <w:rPr>
          <w:i/>
        </w:rPr>
        <w:softHyphen/>
        <w:t>schaftlichen Banden</w:t>
      </w:r>
      <w:r w:rsidRPr="00AB2EED">
        <w:t xml:space="preserve"> </w:t>
      </w:r>
      <w:r>
        <w:t>erfolgte</w:t>
      </w:r>
      <w:r w:rsidR="00030AD3">
        <w:t xml:space="preserve">. – Das </w:t>
      </w:r>
      <w:r w:rsidR="00030AD3" w:rsidRPr="007616B3">
        <w:t>Kunststück</w:t>
      </w:r>
      <w:r w:rsidR="00030AD3">
        <w:t xml:space="preserve"> bestand darin, diesen Prozeß voranzutreiben, ohne die</w:t>
      </w:r>
      <w:r w:rsidR="007213B7">
        <w:t xml:space="preserve"> davon</w:t>
      </w:r>
      <w:r w:rsidR="00030AD3">
        <w:t xml:space="preserve"> betroffenen Strukturen zu schädigen oder zu zerstören! Das ging nicht ohne </w:t>
      </w:r>
      <w:r w:rsidR="00030AD3" w:rsidRPr="007616B3">
        <w:t>Widerstände</w:t>
      </w:r>
      <w:r w:rsidR="007616B3">
        <w:t xml:space="preserve"> von</w:t>
      </w:r>
      <w:r w:rsidR="007616B3">
        <w:softHyphen/>
        <w:t>stat</w:t>
      </w:r>
      <w:r w:rsidR="007616B3">
        <w:softHyphen/>
        <w:t>ten!</w:t>
      </w:r>
      <w:r w:rsidR="007616B3">
        <w:rPr>
          <w:rStyle w:val="Funotenzeichen"/>
        </w:rPr>
        <w:footnoteReference w:id="25"/>
      </w:r>
      <w:r w:rsidR="00030AD3">
        <w:t xml:space="preserve"> Solon hat dies im archaischen Athen/Attika erstmals geschafft.</w:t>
      </w:r>
      <w:r w:rsidR="00030AD3">
        <w:rPr>
          <w:rStyle w:val="Funotenzeichen"/>
        </w:rPr>
        <w:footnoteReference w:id="26"/>
      </w:r>
      <w:r w:rsidR="00030AD3">
        <w:t xml:space="preserve"> </w:t>
      </w:r>
    </w:p>
    <w:p w:rsidR="007213B7" w:rsidRDefault="007213B7" w:rsidP="007213B7">
      <w:pPr>
        <w:pStyle w:val="Listenabsatz"/>
      </w:pPr>
    </w:p>
    <w:p w:rsidR="007213B7" w:rsidRDefault="007213B7" w:rsidP="00FA732B">
      <w:pPr>
        <w:pStyle w:val="Listenabsatz"/>
        <w:numPr>
          <w:ilvl w:val="1"/>
          <w:numId w:val="2"/>
        </w:numPr>
      </w:pPr>
      <w:r>
        <w:t>Für das Verständnis wichtig ist auch, dass dieser ‚Prozeß‘</w:t>
      </w:r>
      <w:r w:rsidR="003A5A8E">
        <w:t xml:space="preserve"> nicht als Entsprechung oder gar als Konsequenz eines bereits entwickelten Menschenbildes zu verstehen ist, also nicht der Respektierung der ‚Person‘ geschuldet war, sondern nur eine Folge des Umstandes war, dass die in Entstehung begriffene Polis ‚den‘ Bürger für ihre Zwecke benötigte. – Die griechische Familienstruktur ermöglichte dies, da die Haussöhne – anders als in Rom – idR mit dem 18. Lebensjahr rechtlich und politisch selbständig wurden, also keiner weiteren Unterstützung durch den Hausvater/kyrios bedurften.</w:t>
      </w:r>
      <w:r w:rsidR="003A5A8E">
        <w:rPr>
          <w:rStyle w:val="Funotenzeichen"/>
        </w:rPr>
        <w:footnoteReference w:id="27"/>
      </w:r>
    </w:p>
    <w:p w:rsidR="00030AD3" w:rsidRDefault="00030AD3" w:rsidP="00FA732B">
      <w:pPr>
        <w:pStyle w:val="Listenabsatz"/>
        <w:ind w:left="0"/>
      </w:pPr>
    </w:p>
    <w:p w:rsidR="00030AD3" w:rsidRDefault="00030AD3" w:rsidP="00FA732B">
      <w:pPr>
        <w:pStyle w:val="Listenabsatz"/>
        <w:numPr>
          <w:ilvl w:val="1"/>
          <w:numId w:val="2"/>
        </w:numPr>
      </w:pPr>
      <w:r>
        <w:t xml:space="preserve">Dieser </w:t>
      </w:r>
      <w:r w:rsidR="003A5A8E">
        <w:t>gesellschaftliche Vorgang</w:t>
      </w:r>
      <w:r>
        <w:t xml:space="preserve"> spielte sich</w:t>
      </w:r>
      <w:r w:rsidRPr="003D5A1F">
        <w:t xml:space="preserve"> </w:t>
      </w:r>
      <w:r>
        <w:t xml:space="preserve">zuvor – ehe er in Griechenland </w:t>
      </w:r>
      <w:r w:rsidR="003A5A8E">
        <w:t>politisch/</w:t>
      </w:r>
      <w:r>
        <w:t xml:space="preserve">rechtliche Konsequenzen zeitigte – im </w:t>
      </w:r>
      <w:r w:rsidR="007616B3">
        <w:t xml:space="preserve">gesellschaftlich-tatsächlichen </w:t>
      </w:r>
      <w:r w:rsidRPr="007616B3">
        <w:t>Bereich</w:t>
      </w:r>
      <w:r>
        <w:t xml:space="preserve"> ab; d. h.: </w:t>
      </w:r>
      <w:r w:rsidR="003A5A8E">
        <w:t xml:space="preserve">einzelne Personen bewährten </w:t>
      </w:r>
      <w:r>
        <w:t>sich zunächst</w:t>
      </w:r>
      <w:r w:rsidR="003A5A8E">
        <w:t xml:space="preserve"> (also bevor es zu einer rechtlichen Anerkennung und Absicherung kam)</w:t>
      </w:r>
      <w:r>
        <w:t xml:space="preserve"> </w:t>
      </w:r>
      <w:r w:rsidRPr="007616B3">
        <w:rPr>
          <w:i/>
        </w:rPr>
        <w:t xml:space="preserve">in Kunst, Politik, </w:t>
      </w:r>
      <w:r w:rsidRPr="007616B3">
        <w:rPr>
          <w:i/>
        </w:rPr>
        <w:lastRenderedPageBreak/>
        <w:t>Handwerk, Kriegs</w:t>
      </w:r>
      <w:r w:rsidRPr="007616B3">
        <w:rPr>
          <w:i/>
        </w:rPr>
        <w:softHyphen/>
        <w:t xml:space="preserve">dienst, Seefahrt </w:t>
      </w:r>
      <w:r w:rsidRPr="007616B3">
        <w:t>oder als</w:t>
      </w:r>
      <w:r w:rsidRPr="007616B3">
        <w:rPr>
          <w:i/>
        </w:rPr>
        <w:t xml:space="preserve"> Kaufleute</w:t>
      </w:r>
      <w:r>
        <w:t>. – Auf diese Weise reifte Individuali</w:t>
      </w:r>
      <w:r w:rsidR="007616B3">
        <w:softHyphen/>
      </w:r>
      <w:r>
        <w:t>tät zu einer gesellschaftlich</w:t>
      </w:r>
      <w:r w:rsidR="003A5A8E">
        <w:t xml:space="preserve"> respektierten und schließlich</w:t>
      </w:r>
      <w:r>
        <w:t xml:space="preserve"> anerkannten Kategorie heran, die den gesellschaft</w:t>
      </w:r>
      <w:r>
        <w:softHyphen/>
        <w:t>lichen Verkehr berei</w:t>
      </w:r>
      <w:r>
        <w:softHyphen/>
        <w:t>cherte und erleichterte</w:t>
      </w:r>
      <w:r w:rsidR="003A5A8E">
        <w:t>, aber auch</w:t>
      </w:r>
      <w:r>
        <w:t xml:space="preserve"> Auswirkungen auf die allgemeine gesell</w:t>
      </w:r>
      <w:r>
        <w:softHyphen/>
      </w:r>
      <w:r w:rsidR="007616B3">
        <w:t xml:space="preserve">schaftliche Entwicklung hatte: </w:t>
      </w:r>
      <w:r>
        <w:t xml:space="preserve">Das betraf das </w:t>
      </w:r>
      <w:r w:rsidR="003A5A8E">
        <w:t xml:space="preserve">öffentliche Handeln und </w:t>
      </w:r>
      <w:r>
        <w:t>Auftreten Ein</w:t>
      </w:r>
      <w:r w:rsidR="003A5A8E">
        <w:t>zelner</w:t>
      </w:r>
      <w:r>
        <w:t>, die Ausbildung von Berufen, vor allem aber</w:t>
      </w:r>
      <w:r w:rsidR="003A5A8E">
        <w:t xml:space="preserve"> ihre Tätigkeit in</w:t>
      </w:r>
      <w:r>
        <w:t xml:space="preserve"> Politik, Wirtsch</w:t>
      </w:r>
      <w:r w:rsidR="007616B3">
        <w:t>aft, Religion und Kunst</w:t>
      </w:r>
      <w:r w:rsidR="003A5A8E">
        <w:t xml:space="preserve"> und im Rechtsbereich</w:t>
      </w:r>
      <w:r w:rsidR="007616B3">
        <w:t>.</w:t>
      </w:r>
    </w:p>
    <w:p w:rsidR="006C62B1" w:rsidRDefault="006C62B1" w:rsidP="006C62B1">
      <w:pPr>
        <w:pStyle w:val="Listenabsatz"/>
      </w:pPr>
    </w:p>
    <w:p w:rsidR="00030AD3" w:rsidRDefault="000332F2" w:rsidP="00B10FD0">
      <w:pPr>
        <w:numPr>
          <w:ilvl w:val="0"/>
          <w:numId w:val="16"/>
        </w:numPr>
        <w:spacing w:after="240" w:line="120" w:lineRule="atLeast"/>
      </w:pPr>
      <w:r>
        <w:t>Es ist</w:t>
      </w:r>
      <w:r w:rsidR="00030AD3">
        <w:t xml:space="preserve"> dabei zu bedenken, dass der </w:t>
      </w:r>
      <w:r w:rsidR="00030AD3" w:rsidRPr="007616B3">
        <w:rPr>
          <w:i/>
        </w:rPr>
        <w:t>Begriffsinhalt</w:t>
      </w:r>
      <w:r w:rsidR="00030AD3">
        <w:t xml:space="preserve"> von ‚</w:t>
      </w:r>
      <w:r w:rsidR="00030AD3" w:rsidRPr="007616B3">
        <w:rPr>
          <w:i/>
        </w:rPr>
        <w:t>Individualität</w:t>
      </w:r>
      <w:r w:rsidR="007616B3" w:rsidRPr="007616B3">
        <w:t xml:space="preserve">‘ </w:t>
      </w:r>
      <w:r w:rsidR="00030AD3">
        <w:t xml:space="preserve">von Anfang an, – wenn auch sich entwickelnd (!) </w:t>
      </w:r>
      <w:r>
        <w:t xml:space="preserve">– </w:t>
      </w:r>
      <w:r w:rsidR="00030AD3">
        <w:t xml:space="preserve">nicht nur eine </w:t>
      </w:r>
      <w:r w:rsidR="00030AD3" w:rsidRPr="007616B3">
        <w:rPr>
          <w:i/>
        </w:rPr>
        <w:t>indivi</w:t>
      </w:r>
      <w:r w:rsidR="00030AD3" w:rsidRPr="007616B3">
        <w:rPr>
          <w:i/>
        </w:rPr>
        <w:softHyphen/>
        <w:t>duell-privat</w:t>
      </w:r>
      <w:r w:rsidR="00030AD3" w:rsidRPr="007616B3">
        <w:rPr>
          <w:i/>
        </w:rPr>
        <w:softHyphen/>
        <w:t>rechtliche</w:t>
      </w:r>
      <w:r w:rsidR="00030AD3">
        <w:t xml:space="preserve">, sondern auch eine </w:t>
      </w:r>
      <w:r w:rsidR="00030AD3" w:rsidRPr="007616B3">
        <w:rPr>
          <w:i/>
        </w:rPr>
        <w:t>gemeinschaft</w:t>
      </w:r>
      <w:r w:rsidR="00030AD3" w:rsidRPr="007616B3">
        <w:rPr>
          <w:i/>
        </w:rPr>
        <w:softHyphen/>
        <w:t>lich-kollektive</w:t>
      </w:r>
      <w:r w:rsidRPr="000332F2">
        <w:rPr>
          <w:i/>
        </w:rPr>
        <w:t xml:space="preserve"> </w:t>
      </w:r>
      <w:r w:rsidRPr="007616B3">
        <w:rPr>
          <w:i/>
        </w:rPr>
        <w:t>Seite</w:t>
      </w:r>
      <w:r>
        <w:t xml:space="preserve"> hatte</w:t>
      </w:r>
      <w:r w:rsidR="007616B3">
        <w:rPr>
          <w:i/>
        </w:rPr>
        <w:t xml:space="preserve">, </w:t>
      </w:r>
      <w:r w:rsidR="00030AD3">
        <w:t xml:space="preserve">also eine </w:t>
      </w:r>
      <w:r w:rsidR="007616B3" w:rsidRPr="007616B3">
        <w:rPr>
          <w:i/>
        </w:rPr>
        <w:t>öffentlich</w:t>
      </w:r>
      <w:r w:rsidR="00030AD3" w:rsidRPr="007616B3">
        <w:rPr>
          <w:i/>
        </w:rPr>
        <w:t>rechtlich-politische</w:t>
      </w:r>
      <w:r w:rsidR="00030AD3">
        <w:t xml:space="preserve">. </w:t>
      </w:r>
      <w:r>
        <w:t>Vermittelt wurde diese</w:t>
      </w:r>
      <w:r w:rsidR="00030AD3">
        <w:t xml:space="preserve"> im alten Griechen</w:t>
      </w:r>
      <w:r w:rsidR="00030AD3">
        <w:softHyphen/>
        <w:t xml:space="preserve">land durch das – penibel gehandhabte – </w:t>
      </w:r>
      <w:r w:rsidR="00030AD3" w:rsidRPr="007616B3">
        <w:rPr>
          <w:i/>
        </w:rPr>
        <w:t>Bürgerrecht</w:t>
      </w:r>
      <w:r w:rsidR="00030AD3">
        <w:t>!</w:t>
      </w:r>
      <w:r w:rsidR="007616B3">
        <w:rPr>
          <w:rStyle w:val="Funotenzeichen"/>
        </w:rPr>
        <w:footnoteReference w:id="28"/>
      </w:r>
      <w:r w:rsidR="00030AD3">
        <w:t xml:space="preserve"> </w:t>
      </w:r>
    </w:p>
    <w:p w:rsidR="00030AD3" w:rsidRDefault="00030AD3" w:rsidP="000332F2">
      <w:pPr>
        <w:pStyle w:val="Listenabsatz"/>
      </w:pPr>
      <w:r>
        <w:t xml:space="preserve">Gegenwärtig befindet sich diese  Entwicklung in einem </w:t>
      </w:r>
      <w:r w:rsidRPr="0049311B">
        <w:t xml:space="preserve">starken </w:t>
      </w:r>
      <w:r w:rsidR="000332F2">
        <w:t xml:space="preserve">– mit zahlreichen Schwierigkeiten behafteten – </w:t>
      </w:r>
      <w:r w:rsidR="000332F2" w:rsidRPr="0049311B">
        <w:t>Wandel</w:t>
      </w:r>
      <w:r w:rsidR="000332F2">
        <w:t xml:space="preserve">, </w:t>
      </w:r>
      <w:r>
        <w:t xml:space="preserve">weg von </w:t>
      </w:r>
      <w:r w:rsidRPr="0049311B">
        <w:rPr>
          <w:i/>
        </w:rPr>
        <w:t>national-staat</w:t>
      </w:r>
      <w:r w:rsidRPr="0049311B">
        <w:rPr>
          <w:i/>
        </w:rPr>
        <w:softHyphen/>
        <w:t>licher</w:t>
      </w:r>
      <w:r>
        <w:t xml:space="preserve"> und hin zu einer </w:t>
      </w:r>
      <w:r w:rsidRPr="0049311B">
        <w:rPr>
          <w:i/>
        </w:rPr>
        <w:t>europäisch-supranatio</w:t>
      </w:r>
      <w:r w:rsidR="0049311B">
        <w:rPr>
          <w:i/>
        </w:rPr>
        <w:softHyphen/>
      </w:r>
      <w:r w:rsidRPr="0049311B">
        <w:rPr>
          <w:i/>
        </w:rPr>
        <w:t>nalen</w:t>
      </w:r>
      <w:r>
        <w:t xml:space="preserve"> und </w:t>
      </w:r>
      <w:r w:rsidRPr="0049311B">
        <w:rPr>
          <w:i/>
        </w:rPr>
        <w:t>internationalen</w:t>
      </w:r>
      <w:r>
        <w:t xml:space="preserve"> Ausrichtung! – Das macht </w:t>
      </w:r>
      <w:r w:rsidRPr="0049311B">
        <w:t>Europa</w:t>
      </w:r>
      <w:r>
        <w:t xml:space="preserve"> heute in vielen Belangen ebenso zu schaffen wie vor 2500 Jahren </w:t>
      </w:r>
      <w:r w:rsidR="000332F2">
        <w:t xml:space="preserve">dem sich unter Solons Reformen wandelnden </w:t>
      </w:r>
      <w:r>
        <w:t>Athen!</w:t>
      </w:r>
      <w:r w:rsidR="007616B3">
        <w:rPr>
          <w:rStyle w:val="Funotenzeichen"/>
        </w:rPr>
        <w:footnoteReference w:id="29"/>
      </w:r>
      <w:r w:rsidR="007616B3">
        <w:t xml:space="preserve"> </w:t>
      </w:r>
    </w:p>
    <w:p w:rsidR="007616B3" w:rsidRDefault="007616B3" w:rsidP="007616B3">
      <w:pPr>
        <w:pStyle w:val="Listenabsatz"/>
        <w:ind w:left="1440"/>
      </w:pPr>
    </w:p>
    <w:p w:rsidR="00030AD3" w:rsidRDefault="00030AD3" w:rsidP="00B10FD0">
      <w:pPr>
        <w:numPr>
          <w:ilvl w:val="0"/>
          <w:numId w:val="16"/>
        </w:numPr>
        <w:spacing w:after="240" w:line="120" w:lineRule="atLeast"/>
      </w:pPr>
      <w:r>
        <w:t xml:space="preserve">Dem </w:t>
      </w:r>
      <w:r w:rsidRPr="0049311B">
        <w:t>Entstehen des Individuums</w:t>
      </w:r>
      <w:r>
        <w:t xml:space="preserve"> lag </w:t>
      </w:r>
      <w:r w:rsidR="00885B8E">
        <w:t xml:space="preserve">demnach </w:t>
      </w:r>
      <w:r>
        <w:t>die Einsicht zugrunde, wie wichtig, ja unver</w:t>
      </w:r>
      <w:r>
        <w:softHyphen/>
        <w:t>zichtbar der</w:t>
      </w:r>
      <w:r w:rsidR="00885B8E">
        <w:t xml:space="preserve"> frei</w:t>
      </w:r>
      <w:r>
        <w:t xml:space="preserve"> </w:t>
      </w:r>
      <w:r w:rsidRPr="0049311B">
        <w:t>handlungsfähige Einzelne</w:t>
      </w:r>
      <w:r w:rsidR="00885B8E">
        <w:t>/Bürger</w:t>
      </w:r>
      <w:r>
        <w:t xml:space="preserve"> für die </w:t>
      </w:r>
      <w:r w:rsidRPr="0049311B">
        <w:t>Gemeinschaft</w:t>
      </w:r>
      <w:r>
        <w:t xml:space="preserve"> war; </w:t>
      </w:r>
      <w:r w:rsidRPr="0049311B">
        <w:rPr>
          <w:i/>
        </w:rPr>
        <w:t>privat</w:t>
      </w:r>
      <w:r w:rsidR="0049311B" w:rsidRPr="0049311B">
        <w:rPr>
          <w:i/>
        </w:rPr>
        <w:t>(rechtlich)</w:t>
      </w:r>
      <w:r w:rsidR="0049311B">
        <w:t xml:space="preserve"> </w:t>
      </w:r>
      <w:r>
        <w:t xml:space="preserve">wie </w:t>
      </w:r>
      <w:r w:rsidRPr="0049311B">
        <w:rPr>
          <w:i/>
        </w:rPr>
        <w:t>politisch</w:t>
      </w:r>
      <w:r w:rsidR="00885B8E">
        <w:t>.</w:t>
      </w:r>
      <w:r>
        <w:t xml:space="preserve"> </w:t>
      </w:r>
      <w:r w:rsidR="00885B8E">
        <w:t>Wo</w:t>
      </w:r>
      <w:r>
        <w:t xml:space="preserve">zu kam, dass auch der </w:t>
      </w:r>
      <w:r w:rsidRPr="0049311B">
        <w:t>Einzelne</w:t>
      </w:r>
      <w:r w:rsidRPr="00793EC0">
        <w:rPr>
          <w:b/>
        </w:rPr>
        <w:t xml:space="preserve"> </w:t>
      </w:r>
      <w:r w:rsidRPr="00494B76">
        <w:t>die</w:t>
      </w:r>
      <w:r w:rsidRPr="00793EC0">
        <w:rPr>
          <w:b/>
        </w:rPr>
        <w:t xml:space="preserve"> </w:t>
      </w:r>
      <w:r w:rsidRPr="0049311B">
        <w:t>Gemeinschaft</w:t>
      </w:r>
      <w:r w:rsidRPr="00793EC0">
        <w:rPr>
          <w:b/>
        </w:rPr>
        <w:t xml:space="preserve"> </w:t>
      </w:r>
      <w:r w:rsidRPr="00494B76">
        <w:t>brauchte</w:t>
      </w:r>
      <w:r w:rsidR="00885B8E">
        <w:t>! –</w:t>
      </w:r>
      <w:r>
        <w:t xml:space="preserve"> So wuchs in </w:t>
      </w:r>
      <w:r w:rsidR="00885B8E">
        <w:t xml:space="preserve">Griechenland </w:t>
      </w:r>
      <w:r>
        <w:t>seit Solon die Einsicht, dass zwischen Gemeinschaft und Individuen</w:t>
      </w:r>
      <w:r w:rsidR="00885B8E">
        <w:t>/ihren Bürgern</w:t>
      </w:r>
      <w:r>
        <w:t xml:space="preserve"> eine grundlegende und unverzichtbare gesellschaftlich-nor</w:t>
      </w:r>
      <w:r>
        <w:softHyphen/>
        <w:t>ma</w:t>
      </w:r>
      <w:r>
        <w:softHyphen/>
        <w:t xml:space="preserve">tive </w:t>
      </w:r>
      <w:r w:rsidRPr="0049311B">
        <w:t>Wechselbe</w:t>
      </w:r>
      <w:r w:rsidRPr="0049311B">
        <w:softHyphen/>
        <w:t>ziehung</w:t>
      </w:r>
      <w:r w:rsidR="00885B8E">
        <w:t xml:space="preserve"> bestand</w:t>
      </w:r>
      <w:r>
        <w:t>, an der kontinuierlich gearbeitet werden mußte. – Kurz: Man begann zu ver</w:t>
      </w:r>
      <w:r w:rsidR="00896E0B">
        <w:softHyphen/>
      </w:r>
      <w:r>
        <w:t>stehen, dass Gemein</w:t>
      </w:r>
      <w:r>
        <w:softHyphen/>
        <w:t>schaft und Individuum sich ergänz</w:t>
      </w:r>
      <w:r w:rsidR="00885B8E">
        <w:t>t</w:t>
      </w:r>
      <w:r>
        <w:t xml:space="preserve">en und </w:t>
      </w:r>
      <w:r w:rsidR="00885B8E">
        <w:t xml:space="preserve">dass beide Entitäten </w:t>
      </w:r>
      <w:r>
        <w:t xml:space="preserve">nur </w:t>
      </w:r>
      <w:r w:rsidR="00885B8E">
        <w:t>in einer</w:t>
      </w:r>
      <w:r>
        <w:t xml:space="preserve"> </w:t>
      </w:r>
      <w:r w:rsidR="0049311B">
        <w:t>ausge</w:t>
      </w:r>
      <w:r w:rsidR="00896E0B">
        <w:softHyphen/>
      </w:r>
      <w:r w:rsidR="0049311B">
        <w:t>wogene</w:t>
      </w:r>
      <w:r w:rsidR="00885B8E">
        <w:t>n</w:t>
      </w:r>
      <w:r>
        <w:t xml:space="preserve"> Wechselbeziehung (über)lebensfähig</w:t>
      </w:r>
      <w:r w:rsidRPr="00494B76">
        <w:t xml:space="preserve"> </w:t>
      </w:r>
      <w:r w:rsidR="0049311B">
        <w:t>sind!</w:t>
      </w:r>
      <w:r w:rsidR="00885B8E">
        <w:rPr>
          <w:rStyle w:val="Funotenzeichen"/>
        </w:rPr>
        <w:footnoteReference w:id="30"/>
      </w:r>
      <w:r w:rsidR="0049311B">
        <w:t xml:space="preserve"> </w:t>
      </w:r>
      <w:r>
        <w:t xml:space="preserve">– Heute tun </w:t>
      </w:r>
      <w:r w:rsidR="00F97880">
        <w:t>sich viele erneut</w:t>
      </w:r>
      <w:r w:rsidR="0049311B">
        <w:t xml:space="preserve"> schwer mit dieser Einsicht</w:t>
      </w:r>
      <w:r w:rsidR="00F97880">
        <w:t>, weil sie die Aufgaben und die Bedeutung des Individuums über- und die der Gemeinschaft unterschätzen!</w:t>
      </w:r>
    </w:p>
    <w:p w:rsidR="00030AD3" w:rsidRDefault="00030AD3" w:rsidP="00494B76">
      <w:pPr>
        <w:pStyle w:val="Listenabsatz"/>
        <w:numPr>
          <w:ilvl w:val="1"/>
          <w:numId w:val="2"/>
        </w:numPr>
      </w:pPr>
      <w:r w:rsidRPr="00896E0B">
        <w:rPr>
          <w:i/>
        </w:rPr>
        <w:t>Politik</w:t>
      </w:r>
      <w:r>
        <w:t xml:space="preserve"> </w:t>
      </w:r>
      <w:r w:rsidR="00F97880">
        <w:t>erscheint als</w:t>
      </w:r>
      <w:r>
        <w:t xml:space="preserve"> gesellschaftli</w:t>
      </w:r>
      <w:r>
        <w:softHyphen/>
        <w:t>che</w:t>
      </w:r>
      <w:r w:rsidR="00F97880">
        <w:t>r</w:t>
      </w:r>
      <w:r>
        <w:t xml:space="preserve"> Versuch, d</w:t>
      </w:r>
      <w:r w:rsidR="00F97880">
        <w:t>en</w:t>
      </w:r>
      <w:r>
        <w:t xml:space="preserve"> Weg </w:t>
      </w:r>
      <w:r w:rsidR="00F97880">
        <w:t xml:space="preserve">von Gemeinschaft und ihren Mitgliedern sowie deren </w:t>
      </w:r>
      <w:r w:rsidR="00896E0B">
        <w:t>wechselseitige</w:t>
      </w:r>
      <w:r>
        <w:t xml:space="preserve"> Beziehungen zu gestalten. </w:t>
      </w:r>
      <w:r w:rsidR="00F97880">
        <w:t>– Das Entwickeln der Rechtspersönlichkeit in Athen/Griechenland hatte demnach auch die ‚Erfindung‘ der Politik zur Folge!</w:t>
      </w:r>
    </w:p>
    <w:p w:rsidR="00030AD3" w:rsidRDefault="00030AD3" w:rsidP="00494B76">
      <w:pPr>
        <w:pStyle w:val="Listenabsatz"/>
        <w:numPr>
          <w:ilvl w:val="1"/>
          <w:numId w:val="2"/>
        </w:numPr>
      </w:pPr>
      <w:r w:rsidRPr="00896E0B">
        <w:rPr>
          <w:i/>
        </w:rPr>
        <w:t>Aufgabe des Rechts</w:t>
      </w:r>
      <w:r>
        <w:t xml:space="preserve"> war es </w:t>
      </w:r>
      <w:r w:rsidR="00F97880">
        <w:t xml:space="preserve">dabei </w:t>
      </w:r>
      <w:r>
        <w:t>von jeher, erla</w:t>
      </w:r>
      <w:r w:rsidR="00896E0B">
        <w:t>ngte politische Einsicht gesell</w:t>
      </w:r>
      <w:r>
        <w:t>schaft</w:t>
      </w:r>
      <w:r w:rsidR="00896E0B">
        <w:softHyphen/>
      </w:r>
      <w:r>
        <w:t>lich-normativ verbindlich umzusetzen.</w:t>
      </w:r>
      <w:r>
        <w:rPr>
          <w:rStyle w:val="Funotenzeichen"/>
        </w:rPr>
        <w:footnoteReference w:id="31"/>
      </w:r>
      <w:r>
        <w:t xml:space="preserve"> </w:t>
      </w:r>
    </w:p>
    <w:p w:rsidR="00030AD3" w:rsidRDefault="00030AD3" w:rsidP="00494B76">
      <w:pPr>
        <w:pStyle w:val="Listenabsatz"/>
        <w:numPr>
          <w:ilvl w:val="1"/>
          <w:numId w:val="2"/>
        </w:numPr>
      </w:pPr>
      <w:r>
        <w:t xml:space="preserve">Das Recht reflektiert die </w:t>
      </w:r>
      <w:r w:rsidRPr="00896E0B">
        <w:t>Spannung</w:t>
      </w:r>
      <w:r w:rsidR="00F97880">
        <w:t>en</w:t>
      </w:r>
      <w:r w:rsidRPr="00F646B8">
        <w:rPr>
          <w:b/>
        </w:rPr>
        <w:t xml:space="preserve"> </w:t>
      </w:r>
      <w:r w:rsidRPr="003D306E">
        <w:t>zwi</w:t>
      </w:r>
      <w:r>
        <w:softHyphen/>
      </w:r>
      <w:r w:rsidRPr="003D306E">
        <w:t>schen</w:t>
      </w:r>
      <w:r w:rsidR="00F97880">
        <w:t xml:space="preserve"> einer</w:t>
      </w:r>
      <w:r w:rsidRPr="00F646B8">
        <w:rPr>
          <w:b/>
        </w:rPr>
        <w:t xml:space="preserve"> </w:t>
      </w:r>
      <w:r w:rsidRPr="00896E0B">
        <w:rPr>
          <w:i/>
        </w:rPr>
        <w:t>Gemein</w:t>
      </w:r>
      <w:r w:rsidRPr="00896E0B">
        <w:rPr>
          <w:i/>
        </w:rPr>
        <w:softHyphen/>
        <w:t>schaft</w:t>
      </w:r>
      <w:r w:rsidRPr="00F646B8">
        <w:rPr>
          <w:b/>
        </w:rPr>
        <w:t xml:space="preserve"> </w:t>
      </w:r>
      <w:r w:rsidRPr="002769B3">
        <w:t>und</w:t>
      </w:r>
      <w:r w:rsidRPr="00F646B8">
        <w:rPr>
          <w:b/>
        </w:rPr>
        <w:t xml:space="preserve"> </w:t>
      </w:r>
      <w:r w:rsidR="00F97880" w:rsidRPr="00F97880">
        <w:t>ihren</w:t>
      </w:r>
      <w:r w:rsidR="00F97880">
        <w:rPr>
          <w:b/>
        </w:rPr>
        <w:t xml:space="preserve"> </w:t>
      </w:r>
      <w:r w:rsidRPr="00896E0B">
        <w:rPr>
          <w:i/>
        </w:rPr>
        <w:t>Einzelnen</w:t>
      </w:r>
      <w:r>
        <w:t xml:space="preserve"> und vice versa; </w:t>
      </w:r>
      <w:r w:rsidR="00896E0B">
        <w:t>wozu</w:t>
      </w:r>
      <w:r>
        <w:t xml:space="preserve"> heute</w:t>
      </w:r>
      <w:r w:rsidR="00896E0B" w:rsidRPr="00896E0B">
        <w:t xml:space="preserve"> </w:t>
      </w:r>
      <w:r w:rsidR="00896E0B">
        <w:t>kommt</w:t>
      </w:r>
      <w:r>
        <w:t>, dass sich einerseits der Bezugsrahmen der Gemeinschaft erweitert hat (vom Nationalstaat, zum</w:t>
      </w:r>
      <w:r w:rsidRPr="003E2BE5">
        <w:t xml:space="preserve"> </w:t>
      </w:r>
      <w:r w:rsidR="00896E0B">
        <w:t>supra</w:t>
      </w:r>
      <w:r w:rsidR="00896E0B">
        <w:softHyphen/>
        <w:t>nationalen Europa</w:t>
      </w:r>
      <w:r w:rsidR="00F97880">
        <w:t xml:space="preserve"> und in mancher Beziehung bereits</w:t>
      </w:r>
      <w:r>
        <w:t xml:space="preserve"> z</w:t>
      </w:r>
      <w:r w:rsidR="00896E0B">
        <w:t>ur Internationalität) und and</w:t>
      </w:r>
      <w:r>
        <w:t>rerseits d</w:t>
      </w:r>
      <w:r w:rsidR="00896E0B">
        <w:t>ie Entwicklung des Individuums</w:t>
      </w:r>
      <w:r>
        <w:t xml:space="preserve"> </w:t>
      </w:r>
      <w:r w:rsidRPr="00896E0B">
        <w:t>segre</w:t>
      </w:r>
      <w:r w:rsidRPr="00896E0B">
        <w:softHyphen/>
        <w:t>ga</w:t>
      </w:r>
      <w:r w:rsidRPr="00896E0B">
        <w:softHyphen/>
        <w:t>tionistische</w:t>
      </w:r>
      <w:r>
        <w:t xml:space="preserve"> und </w:t>
      </w:r>
      <w:r w:rsidRPr="00896E0B">
        <w:lastRenderedPageBreak/>
        <w:t>egoistische Züge</w:t>
      </w:r>
      <w:r>
        <w:t xml:space="preserve"> angenommen hat, was die </w:t>
      </w:r>
      <w:r w:rsidR="00F97880">
        <w:t xml:space="preserve">nötigen reflexiven </w:t>
      </w:r>
      <w:r>
        <w:t xml:space="preserve">Beziehungen </w:t>
      </w:r>
      <w:r w:rsidR="00F97880">
        <w:t xml:space="preserve">(zwischen Einzelnen und Gemeinschaft) </w:t>
      </w:r>
      <w:r>
        <w:t>gefährdet.</w:t>
      </w:r>
      <w:r w:rsidR="00896E0B">
        <w:rPr>
          <w:rStyle w:val="Funotenzeichen"/>
        </w:rPr>
        <w:footnoteReference w:id="32"/>
      </w:r>
    </w:p>
    <w:p w:rsidR="00030AD3" w:rsidRDefault="00030AD3" w:rsidP="003D306E">
      <w:pPr>
        <w:pStyle w:val="Listenabsatz"/>
      </w:pPr>
      <w:r>
        <w:t xml:space="preserve"> </w:t>
      </w:r>
    </w:p>
    <w:p w:rsidR="00030AD3" w:rsidRDefault="00030AD3" w:rsidP="00B10FD0">
      <w:pPr>
        <w:numPr>
          <w:ilvl w:val="0"/>
          <w:numId w:val="16"/>
        </w:numPr>
        <w:spacing w:after="240" w:line="120" w:lineRule="atLeast"/>
      </w:pPr>
      <w:r>
        <w:t xml:space="preserve">Mit dem </w:t>
      </w:r>
      <w:r w:rsidRPr="00C422AB">
        <w:t>Entstehen</w:t>
      </w:r>
      <w:r w:rsidRPr="003D306E">
        <w:rPr>
          <w:b/>
        </w:rPr>
        <w:t xml:space="preserve"> </w:t>
      </w:r>
      <w:r w:rsidRPr="008D16C6">
        <w:t>des</w:t>
      </w:r>
      <w:r w:rsidR="00F97880">
        <w:t xml:space="preserve"> Individuums als</w:t>
      </w:r>
      <w:r w:rsidRPr="003D306E">
        <w:rPr>
          <w:b/>
        </w:rPr>
        <w:t xml:space="preserve"> </w:t>
      </w:r>
      <w:r>
        <w:t>(</w:t>
      </w:r>
      <w:r w:rsidRPr="00C422AB">
        <w:t>Rechts)Subjekt</w:t>
      </w:r>
      <w:r>
        <w:t xml:space="preserve">, der </w:t>
      </w:r>
      <w:r w:rsidRPr="00C422AB">
        <w:t>Rechtsperson</w:t>
      </w:r>
      <w:r>
        <w:t xml:space="preserve"> und überhaupt des (in verschiedenen Gesellschaftsbereichen tätigen) </w:t>
      </w:r>
      <w:r w:rsidRPr="00C422AB">
        <w:t>Individuums</w:t>
      </w:r>
      <w:r>
        <w:t xml:space="preserve"> beginnt </w:t>
      </w:r>
      <w:r w:rsidR="00A6085F">
        <w:t>erneut eine</w:t>
      </w:r>
      <w:r>
        <w:t xml:space="preserve"> </w:t>
      </w:r>
      <w:r w:rsidRPr="00C422AB">
        <w:rPr>
          <w:i/>
        </w:rPr>
        <w:t>Vergesell</w:t>
      </w:r>
      <w:r w:rsidRPr="00C422AB">
        <w:rPr>
          <w:i/>
        </w:rPr>
        <w:softHyphen/>
        <w:t>schaftung des Subjekts</w:t>
      </w:r>
      <w:r w:rsidR="00A6085F">
        <w:t>, dieses Mal jedoch mit umgekehrten Vorzeichen, nämlich vom Individuum zurück zu einem vergesellschafteten Teil der Gemeinschaft, nachdem zuvor ein autonomes Individuum nicht existiert hatte, sondern der Einzelne im Schoße kollektiver Verbände weitgehend aufgegangen war und daher erst geschaffen werden musste: E</w:t>
      </w:r>
      <w:r>
        <w:t>in langer Weg, der in jeder Kultur unterschiedliche Wege nahm und unterschiedl</w:t>
      </w:r>
      <w:r w:rsidR="00C422AB">
        <w:t>iche Adap</w:t>
      </w:r>
      <w:r w:rsidR="00C422AB">
        <w:softHyphen/>
        <w:t>tie</w:t>
      </w:r>
      <w:r w:rsidR="00C422AB">
        <w:softHyphen/>
        <w:t>rungen benötigte.</w:t>
      </w:r>
    </w:p>
    <w:p w:rsidR="00030AD3" w:rsidRDefault="00030AD3" w:rsidP="00B10FD0">
      <w:pPr>
        <w:numPr>
          <w:ilvl w:val="0"/>
          <w:numId w:val="16"/>
        </w:numPr>
        <w:spacing w:after="240" w:line="120" w:lineRule="atLeast"/>
      </w:pPr>
      <w:r>
        <w:t xml:space="preserve">Das Thema ist daher </w:t>
      </w:r>
      <w:r w:rsidR="003638E9">
        <w:t xml:space="preserve">insofern </w:t>
      </w:r>
      <w:r>
        <w:t xml:space="preserve">etwas </w:t>
      </w:r>
      <w:r w:rsidRPr="00C422AB">
        <w:t>Besonderes</w:t>
      </w:r>
      <w:r>
        <w:t xml:space="preserve">, </w:t>
      </w:r>
      <w:r w:rsidR="003638E9">
        <w:t>als</w:t>
      </w:r>
      <w:r>
        <w:t xml:space="preserve"> es nicht nur das </w:t>
      </w:r>
      <w:r w:rsidRPr="00C422AB">
        <w:rPr>
          <w:i/>
        </w:rPr>
        <w:t>Recht</w:t>
      </w:r>
      <w:r>
        <w:t xml:space="preserve"> und seine Entwicklung</w:t>
      </w:r>
      <w:r w:rsidR="003638E9" w:rsidRPr="003638E9">
        <w:t xml:space="preserve"> </w:t>
      </w:r>
      <w:r w:rsidR="003638E9">
        <w:t>betrifft</w:t>
      </w:r>
      <w:r>
        <w:t xml:space="preserve">, sondern auch </w:t>
      </w:r>
      <w:r w:rsidRPr="00C422AB">
        <w:rPr>
          <w:i/>
        </w:rPr>
        <w:t xml:space="preserve">Politik, Kunst, Wirtschaft, Wissenschaft </w:t>
      </w:r>
      <w:r w:rsidRPr="00C422AB">
        <w:t>und</w:t>
      </w:r>
      <w:r w:rsidRPr="00C422AB">
        <w:rPr>
          <w:i/>
        </w:rPr>
        <w:t xml:space="preserve">  Religion</w:t>
      </w:r>
      <w:r>
        <w:t>, überhaupt die men</w:t>
      </w:r>
      <w:r w:rsidR="00C422AB">
        <w:t xml:space="preserve">schlich-kulturelle Entwicklung! – Der Kulturgenerator der griechischen </w:t>
      </w:r>
      <w:r w:rsidR="00C422AB" w:rsidRPr="00C422AB">
        <w:rPr>
          <w:i/>
        </w:rPr>
        <w:t>Paideia</w:t>
      </w:r>
      <w:r w:rsidR="00C422AB">
        <w:t xml:space="preserve"> setzt</w:t>
      </w:r>
      <w:r w:rsidR="003638E9">
        <w:t>e</w:t>
      </w:r>
      <w:r w:rsidR="00C422AB">
        <w:t xml:space="preserve"> eine entwickelte (Rechts)Person voraus, hatte es sich aber </w:t>
      </w:r>
      <w:r w:rsidR="003638E9">
        <w:t xml:space="preserve">auch </w:t>
      </w:r>
      <w:r w:rsidR="00C422AB">
        <w:t>zur Aufgabe gemacht, diese</w:t>
      </w:r>
      <w:r w:rsidR="003638E9">
        <w:t>n</w:t>
      </w:r>
      <w:r w:rsidR="00C422AB">
        <w:t xml:space="preserve"> Person</w:t>
      </w:r>
      <w:r w:rsidR="003638E9">
        <w:t>alisierungsprozess</w:t>
      </w:r>
      <w:r w:rsidR="00C422AB">
        <w:t xml:space="preserve"> </w:t>
      </w:r>
      <w:r w:rsidR="003638E9">
        <w:t>zu fördern</w:t>
      </w:r>
      <w:r w:rsidR="00C422AB">
        <w:t>!</w:t>
      </w:r>
      <w:r w:rsidR="005F60A3" w:rsidRPr="005F60A3">
        <w:t xml:space="preserve"> </w:t>
      </w:r>
      <w:r w:rsidR="005F60A3">
        <w:t xml:space="preserve">Dieser </w:t>
      </w:r>
      <w:r w:rsidR="003638E9">
        <w:t>Vorgang</w:t>
      </w:r>
      <w:r w:rsidR="005F60A3">
        <w:t xml:space="preserve"> setzt</w:t>
      </w:r>
      <w:r w:rsidR="003638E9">
        <w:t>e in der Mitte des 5. Jahrhunderts</w:t>
      </w:r>
      <w:r w:rsidR="005F60A3">
        <w:t xml:space="preserve"> v. mit de</w:t>
      </w:r>
      <w:r w:rsidR="003638E9">
        <w:t>n Sophisten verstärkt</w:t>
      </w:r>
      <w:r w:rsidR="005F60A3">
        <w:t xml:space="preserve"> </w:t>
      </w:r>
      <w:r w:rsidR="003638E9">
        <w:t xml:space="preserve">ein und erreicht im 4. und 3. Jahrhundert v. mit </w:t>
      </w:r>
      <w:r w:rsidR="005F60A3">
        <w:t>Isokrates, Platon, Aristoteles, Theophrast, den Rednern und der Stoa seinen Höhepunkt.</w:t>
      </w:r>
      <w:r w:rsidR="00C422AB">
        <w:rPr>
          <w:rStyle w:val="Funotenzeichen"/>
        </w:rPr>
        <w:footnoteReference w:id="33"/>
      </w:r>
      <w:r w:rsidR="00C422AB">
        <w:t xml:space="preserve"> </w:t>
      </w:r>
    </w:p>
    <w:p w:rsidR="00030AD3" w:rsidRDefault="00030AD3" w:rsidP="00B10FD0">
      <w:pPr>
        <w:numPr>
          <w:ilvl w:val="0"/>
          <w:numId w:val="16"/>
        </w:numPr>
        <w:spacing w:after="240" w:line="120" w:lineRule="atLeast"/>
      </w:pPr>
      <w:r w:rsidRPr="00E618A7">
        <w:t>Der</w:t>
      </w:r>
      <w:r>
        <w:rPr>
          <w:b/>
        </w:rPr>
        <w:t xml:space="preserve"> </w:t>
      </w:r>
      <w:r w:rsidRPr="002F09BE">
        <w:t>Individualisierungsprozeß</w:t>
      </w:r>
      <w:r>
        <w:t xml:space="preserve"> entwickelte sich nicht nur in </w:t>
      </w:r>
      <w:r w:rsidRPr="002F09BE">
        <w:t>verschiedenen Kultu</w:t>
      </w:r>
      <w:r w:rsidRPr="002F09BE">
        <w:softHyphen/>
        <w:t>ren</w:t>
      </w:r>
      <w:r>
        <w:t xml:space="preserve"> zeit</w:t>
      </w:r>
      <w:r>
        <w:softHyphen/>
        <w:t>lich</w:t>
      </w:r>
      <w:r w:rsidR="003638E9">
        <w:t xml:space="preserve"> und inhaltlich</w:t>
      </w:r>
      <w:r>
        <w:t xml:space="preserve"> unterschiedlich, sondern auch in </w:t>
      </w:r>
      <w:r w:rsidRPr="00C74E27">
        <w:t>verschiedenen</w:t>
      </w:r>
      <w:r w:rsidRPr="00C113E1">
        <w:rPr>
          <w:b/>
        </w:rPr>
        <w:t xml:space="preserve"> </w:t>
      </w:r>
      <w:r w:rsidRPr="002F09BE">
        <w:t>Gebieten</w:t>
      </w:r>
      <w:r w:rsidRPr="00C113E1">
        <w:rPr>
          <w:b/>
        </w:rPr>
        <w:t xml:space="preserve"> </w:t>
      </w:r>
      <w:r w:rsidRPr="000E0119">
        <w:t>ein</w:t>
      </w:r>
      <w:r w:rsidRPr="00C113E1">
        <w:rPr>
          <w:b/>
        </w:rPr>
        <w:t xml:space="preserve"> </w:t>
      </w:r>
      <w:r w:rsidRPr="000E0119">
        <w:t>und</w:t>
      </w:r>
      <w:r w:rsidRPr="00C113E1">
        <w:rPr>
          <w:b/>
        </w:rPr>
        <w:t xml:space="preserve"> </w:t>
      </w:r>
      <w:r w:rsidRPr="000E0119">
        <w:t>der</w:t>
      </w:r>
      <w:r>
        <w:softHyphen/>
      </w:r>
      <w:r w:rsidRPr="000E0119">
        <w:t>selben</w:t>
      </w:r>
      <w:r w:rsidRPr="00C113E1">
        <w:rPr>
          <w:b/>
        </w:rPr>
        <w:t xml:space="preserve"> </w:t>
      </w:r>
      <w:r w:rsidRPr="002F09BE">
        <w:t>Kultur</w:t>
      </w:r>
      <w:r>
        <w:t xml:space="preserve"> mit unte</w:t>
      </w:r>
      <w:r w:rsidR="002F09BE">
        <w:t>rschiedlicher Geschwindigkeit</w:t>
      </w:r>
      <w:r w:rsidR="003638E9">
        <w:t xml:space="preserve">; </w:t>
      </w:r>
      <w:r>
        <w:t>Gleichzeitigkeit des Ungleichzeitigen!</w:t>
      </w:r>
      <w:r w:rsidR="002F09BE">
        <w:t xml:space="preserve"> </w:t>
      </w:r>
      <w:r>
        <w:t xml:space="preserve">– Langsamer verlief die Entwicklung im </w:t>
      </w:r>
      <w:r w:rsidRPr="002F09BE">
        <w:rPr>
          <w:i/>
        </w:rPr>
        <w:t>Eherecht</w:t>
      </w:r>
      <w:r>
        <w:t xml:space="preserve"> und hier wiede</w:t>
      </w:r>
      <w:r>
        <w:softHyphen/>
        <w:t xml:space="preserve">rum bei der </w:t>
      </w:r>
      <w:r w:rsidRPr="002F09BE">
        <w:rPr>
          <w:i/>
        </w:rPr>
        <w:t>Gatten</w:t>
      </w:r>
      <w:r w:rsidRPr="002F09BE">
        <w:rPr>
          <w:i/>
        </w:rPr>
        <w:softHyphen/>
      </w:r>
      <w:r w:rsidR="003638E9">
        <w:rPr>
          <w:i/>
        </w:rPr>
        <w:t xml:space="preserve">beziehung </w:t>
      </w:r>
      <w:r w:rsidR="003638E9" w:rsidRPr="003638E9">
        <w:t>und</w:t>
      </w:r>
      <w:r w:rsidR="003638E9">
        <w:rPr>
          <w:i/>
        </w:rPr>
        <w:t xml:space="preserve"> Gatten</w:t>
      </w:r>
      <w:r w:rsidRPr="002F09BE">
        <w:rPr>
          <w:i/>
        </w:rPr>
        <w:t>wahl</w:t>
      </w:r>
      <w:r>
        <w:t xml:space="preserve">, die </w:t>
      </w:r>
      <w:r w:rsidR="002F09BE">
        <w:t xml:space="preserve">noch </w:t>
      </w:r>
      <w:r>
        <w:t>i</w:t>
      </w:r>
      <w:r w:rsidR="002F09BE">
        <w:t>m</w:t>
      </w:r>
      <w:r>
        <w:t xml:space="preserve"> Europa </w:t>
      </w:r>
      <w:r w:rsidR="002F09BE">
        <w:t>des</w:t>
      </w:r>
      <w:r>
        <w:t xml:space="preserve"> 19. Jh</w:t>
      </w:r>
      <w:r w:rsidR="002F09BE">
        <w:t>s. keine individuell-</w:t>
      </w:r>
      <w:r>
        <w:t>freie war</w:t>
      </w:r>
      <w:r w:rsidR="002F09BE">
        <w:t>, wie</w:t>
      </w:r>
      <w:r>
        <w:t xml:space="preserve"> Eva Illouz (2012/2013) </w:t>
      </w:r>
      <w:r w:rsidR="002F09BE">
        <w:t>dies anschaulich gezeigt hat!</w:t>
      </w:r>
      <w:r w:rsidR="002F09BE">
        <w:rPr>
          <w:rStyle w:val="Funotenzeichen"/>
        </w:rPr>
        <w:footnoteReference w:id="34"/>
      </w:r>
      <w:r w:rsidR="002F09BE">
        <w:t xml:space="preserve"> </w:t>
      </w:r>
      <w:r>
        <w:t xml:space="preserve">– Das Recht hinkt der gesellschaftlichen Entwicklung oft hinterher, weil es neben der Bewältigung von Neuem, auch für </w:t>
      </w:r>
      <w:r w:rsidRPr="002F09BE">
        <w:rPr>
          <w:i/>
        </w:rPr>
        <w:t>Rechtssicherheit</w:t>
      </w:r>
      <w:r>
        <w:t xml:space="preserve"> (iSv Bestandssicherung</w:t>
      </w:r>
      <w:r w:rsidR="003638E9">
        <w:t>!</w:t>
      </w:r>
      <w:r>
        <w:t>) zu sorgen hat.</w:t>
      </w:r>
      <w:r>
        <w:rPr>
          <w:rStyle w:val="Funotenzeichen"/>
        </w:rPr>
        <w:footnoteReference w:id="35"/>
      </w:r>
      <w:r>
        <w:t xml:space="preserve"> </w:t>
      </w:r>
    </w:p>
    <w:p w:rsidR="00030AD3" w:rsidRDefault="00030AD3" w:rsidP="00B10FD0">
      <w:pPr>
        <w:numPr>
          <w:ilvl w:val="0"/>
          <w:numId w:val="16"/>
        </w:numPr>
        <w:spacing w:after="240" w:line="120" w:lineRule="atLeast"/>
      </w:pPr>
      <w:r>
        <w:t xml:space="preserve">Es scheint, dass das </w:t>
      </w:r>
      <w:r w:rsidRPr="00483000">
        <w:t>Entwickeln</w:t>
      </w:r>
      <w:r w:rsidRPr="002F1CF9">
        <w:rPr>
          <w:b/>
        </w:rPr>
        <w:t xml:space="preserve"> </w:t>
      </w:r>
      <w:r w:rsidRPr="000E0119">
        <w:t>eines</w:t>
      </w:r>
      <w:r w:rsidRPr="002F1CF9">
        <w:rPr>
          <w:b/>
        </w:rPr>
        <w:t xml:space="preserve"> </w:t>
      </w:r>
      <w:r w:rsidRPr="00B7328F">
        <w:rPr>
          <w:i/>
        </w:rPr>
        <w:t>umfassenden</w:t>
      </w:r>
      <w:r>
        <w:rPr>
          <w:b/>
        </w:rPr>
        <w:t xml:space="preserve"> </w:t>
      </w:r>
      <w:r w:rsidRPr="00483000">
        <w:t>(!)</w:t>
      </w:r>
      <w:r>
        <w:rPr>
          <w:b/>
        </w:rPr>
        <w:t xml:space="preserve"> </w:t>
      </w:r>
      <w:r w:rsidR="003638E9">
        <w:t>rechtlichen B</w:t>
      </w:r>
      <w:r w:rsidRPr="00B7328F">
        <w:t>egriffs</w:t>
      </w:r>
      <w:r w:rsidR="003638E9">
        <w:t xml:space="preserve"> der ‚</w:t>
      </w:r>
      <w:r w:rsidR="003638E9" w:rsidRPr="003638E9">
        <w:rPr>
          <w:i/>
        </w:rPr>
        <w:t>Person</w:t>
      </w:r>
      <w:r w:rsidR="003638E9">
        <w:t>‘</w:t>
      </w:r>
      <w:r>
        <w:t xml:space="preserve"> eine </w:t>
      </w:r>
      <w:r w:rsidRPr="00B7328F">
        <w:rPr>
          <w:i/>
        </w:rPr>
        <w:t>Großtat der westlichen Kultur</w:t>
      </w:r>
      <w:r>
        <w:rPr>
          <w:b/>
        </w:rPr>
        <w:t xml:space="preserve"> </w:t>
      </w:r>
      <w:r w:rsidR="00B7328F">
        <w:t>war, mag es namhafte Ansätze</w:t>
      </w:r>
      <w:r w:rsidR="003638E9">
        <w:t xml:space="preserve"> </w:t>
      </w:r>
      <w:r w:rsidR="00B7328F">
        <w:t xml:space="preserve">dazu </w:t>
      </w:r>
      <w:r w:rsidR="003638E9">
        <w:t>auch schon i</w:t>
      </w:r>
      <w:r w:rsidR="00B7328F">
        <w:t>n älteren Kulturen gegeben haben. – Das gilt vor allem für die Parallelentwicklung von privatrechtlicher</w:t>
      </w:r>
      <w:r w:rsidR="003638E9">
        <w:t xml:space="preserve"> und politisch-</w:t>
      </w:r>
      <w:r w:rsidR="00B7328F">
        <w:t xml:space="preserve"> öff</w:t>
      </w:r>
      <w:r w:rsidR="003638E9">
        <w:t>entlichrechtlicher Entwicklung im antiken Griechenland, die über den Persönlichkeitsschutz zu Grund- und Menschenrechten gefunden hat</w:t>
      </w:r>
      <w:r w:rsidR="00B7328F">
        <w:t xml:space="preserve">. – </w:t>
      </w:r>
      <w:r>
        <w:t>Aber diese Annahme ist genau zu prüfen und auf allfällige Hohl</w:t>
      </w:r>
      <w:r w:rsidR="00B7328F">
        <w:softHyphen/>
      </w:r>
      <w:r>
        <w:t>stellen</w:t>
      </w:r>
      <w:r w:rsidR="00B7328F">
        <w:t xml:space="preserve"> hin</w:t>
      </w:r>
      <w:r>
        <w:t xml:space="preserve"> abzuklopfen! – Ein </w:t>
      </w:r>
      <w:r w:rsidRPr="00B7328F">
        <w:t>Ergebnis dieser Tagung</w:t>
      </w:r>
      <w:r>
        <w:t xml:space="preserve"> könnte darin bestehen, orienta</w:t>
      </w:r>
      <w:r w:rsidR="00A30488">
        <w:softHyphen/>
      </w:r>
      <w:r>
        <w:t>lische und ägyptische sowie weitere Entwicklungen nachzu</w:t>
      </w:r>
      <w:r>
        <w:softHyphen/>
        <w:t xml:space="preserve">tragen und dadurch klarer zu sehen als bisher! </w:t>
      </w:r>
    </w:p>
    <w:p w:rsidR="00030AD3" w:rsidRPr="00402D36" w:rsidRDefault="00030AD3" w:rsidP="00402D36">
      <w:pPr>
        <w:spacing w:after="240" w:line="120" w:lineRule="atLeast"/>
        <w:ind w:left="357"/>
        <w:jc w:val="center"/>
      </w:pPr>
    </w:p>
    <w:p w:rsidR="00030AD3" w:rsidRDefault="00030AD3" w:rsidP="003D3255">
      <w:pPr>
        <w:numPr>
          <w:ilvl w:val="0"/>
          <w:numId w:val="14"/>
        </w:numPr>
        <w:rPr>
          <w:b/>
          <w:bCs/>
        </w:rPr>
      </w:pPr>
      <w:r>
        <w:rPr>
          <w:b/>
          <w:bCs/>
        </w:rPr>
        <w:t>Zur griechischen Entwicklung</w:t>
      </w:r>
    </w:p>
    <w:p w:rsidR="00030AD3" w:rsidRPr="00402D36" w:rsidRDefault="00030AD3" w:rsidP="007A7B4A">
      <w:pPr>
        <w:ind w:left="360"/>
        <w:rPr>
          <w:b/>
          <w:bCs/>
        </w:rPr>
      </w:pPr>
    </w:p>
    <w:p w:rsidR="009325B8" w:rsidRDefault="00030AD3" w:rsidP="00577F40">
      <w:pPr>
        <w:pStyle w:val="Listenabsatz"/>
        <w:ind w:left="0"/>
      </w:pPr>
      <w:r>
        <w:t xml:space="preserve">Ich bringe anschließend Beispiele aus der </w:t>
      </w:r>
      <w:r w:rsidRPr="009325B8">
        <w:rPr>
          <w:i/>
        </w:rPr>
        <w:t>griechischen Entwicklung</w:t>
      </w:r>
      <w:r>
        <w:t xml:space="preserve">, die für </w:t>
      </w:r>
      <w:r w:rsidRPr="009325B8">
        <w:t>Europa</w:t>
      </w:r>
      <w:r>
        <w:t xml:space="preserve"> das </w:t>
      </w:r>
      <w:r w:rsidRPr="009325B8">
        <w:rPr>
          <w:i/>
        </w:rPr>
        <w:t>Individualisierungs-Paradigma</w:t>
      </w:r>
      <w:r w:rsidR="003638E9">
        <w:rPr>
          <w:i/>
        </w:rPr>
        <w:t xml:space="preserve"> </w:t>
      </w:r>
      <w:r w:rsidR="003638E9" w:rsidRPr="003638E9">
        <w:t>geschaffen hat</w:t>
      </w:r>
      <w:r>
        <w:t>, das</w:t>
      </w:r>
      <w:r w:rsidR="009325B8">
        <w:t xml:space="preserve"> bis heute trägt.</w:t>
      </w:r>
      <w:r>
        <w:rPr>
          <w:rStyle w:val="Funotenzeichen"/>
        </w:rPr>
        <w:footnoteReference w:id="36"/>
      </w:r>
      <w:r>
        <w:t xml:space="preserve"> </w:t>
      </w:r>
      <w:r w:rsidR="009325B8">
        <w:t>H</w:t>
      </w:r>
      <w:r>
        <w:t>atte doch Rom diesbe</w:t>
      </w:r>
      <w:r>
        <w:softHyphen/>
        <w:t>züglich wenig zu bieten</w:t>
      </w:r>
      <w:r w:rsidR="009325B8">
        <w:t xml:space="preserve"> und </w:t>
      </w:r>
      <w:r w:rsidR="003638E9">
        <w:t xml:space="preserve">ähnliches </w:t>
      </w:r>
      <w:r w:rsidR="009325B8">
        <w:t xml:space="preserve">gilt für das aufstrebende Christentum! </w:t>
      </w:r>
    </w:p>
    <w:p w:rsidR="009325B8" w:rsidRDefault="009325B8" w:rsidP="00577F40">
      <w:pPr>
        <w:pStyle w:val="Listenabsatz"/>
        <w:ind w:left="0"/>
      </w:pPr>
    </w:p>
    <w:p w:rsidR="00030AD3" w:rsidRDefault="003638E9" w:rsidP="009325B8">
      <w:pPr>
        <w:numPr>
          <w:ilvl w:val="0"/>
          <w:numId w:val="16"/>
        </w:numPr>
        <w:spacing w:after="240" w:line="120" w:lineRule="atLeast"/>
      </w:pPr>
      <w:r>
        <w:t xml:space="preserve">Athen </w:t>
      </w:r>
      <w:r w:rsidR="00030AD3">
        <w:t xml:space="preserve">stattete </w:t>
      </w:r>
      <w:r w:rsidR="00030AD3" w:rsidRPr="009325B8">
        <w:t>männliche Bürger</w:t>
      </w:r>
      <w:r>
        <w:t xml:space="preserve"> ab dem 18. Lebensjahr</w:t>
      </w:r>
      <w:r w:rsidR="00030AD3">
        <w:t xml:space="preserve"> mit voller </w:t>
      </w:r>
      <w:r w:rsidR="00030AD3" w:rsidRPr="009325B8">
        <w:rPr>
          <w:i/>
        </w:rPr>
        <w:t>Rechtsfähigkeit</w:t>
      </w:r>
      <w:r>
        <w:t xml:space="preserve"> aus und zwar</w:t>
      </w:r>
      <w:r w:rsidR="00030AD3">
        <w:t xml:space="preserve"> privatrecht</w:t>
      </w:r>
      <w:r w:rsidR="009325B8">
        <w:softHyphen/>
      </w:r>
      <w:r w:rsidR="00030AD3">
        <w:t>lich-</w:t>
      </w:r>
      <w:r w:rsidR="00030AD3" w:rsidRPr="009325B8">
        <w:t>rechtsgeschäftlich</w:t>
      </w:r>
      <w:r w:rsidR="00030AD3">
        <w:t xml:space="preserve"> und </w:t>
      </w:r>
      <w:r w:rsidR="00030AD3" w:rsidRPr="009325B8">
        <w:t>politisch</w:t>
      </w:r>
      <w:r w:rsidR="00030AD3">
        <w:t>-öffent</w:t>
      </w:r>
      <w:r w:rsidR="00030AD3">
        <w:softHyphen/>
        <w:t>lichrecht</w:t>
      </w:r>
      <w:r w:rsidR="00030AD3">
        <w:softHyphen/>
        <w:t xml:space="preserve">lich. Es war diese </w:t>
      </w:r>
      <w:r w:rsidR="00030AD3" w:rsidRPr="009325B8">
        <w:t>Koppelung</w:t>
      </w:r>
      <w:r w:rsidR="00030AD3">
        <w:t xml:space="preserve"> </w:t>
      </w:r>
      <w:r w:rsidR="009325B8">
        <w:t>von privatrechtlichen</w:t>
      </w:r>
      <w:r w:rsidR="00030AD3">
        <w:t xml:space="preserve"> </w:t>
      </w:r>
      <w:r w:rsidR="009325B8">
        <w:t>und öffentlichrecht</w:t>
      </w:r>
      <w:r w:rsidR="009325B8">
        <w:softHyphen/>
        <w:t>lich-politischen</w:t>
      </w:r>
      <w:r w:rsidR="00030AD3">
        <w:t xml:space="preserve"> Fähigkeiten, die das </w:t>
      </w:r>
      <w:r w:rsidR="00030AD3" w:rsidRPr="009325B8">
        <w:t xml:space="preserve">griechische Individualisierungsmodell </w:t>
      </w:r>
      <w:bookmarkStart w:id="1" w:name="_Ref440990004"/>
      <w:r w:rsidR="009325B8">
        <w:t>attraktiv machten:</w:t>
      </w:r>
      <w:bookmarkStart w:id="2" w:name="_Ref510099338"/>
      <w:r w:rsidR="00030AD3">
        <w:rPr>
          <w:rStyle w:val="Funotenzeichen"/>
        </w:rPr>
        <w:footnoteReference w:id="37"/>
      </w:r>
      <w:bookmarkEnd w:id="1"/>
      <w:bookmarkEnd w:id="2"/>
    </w:p>
    <w:p w:rsidR="00030AD3" w:rsidRDefault="00030AD3" w:rsidP="00885890">
      <w:pPr>
        <w:pStyle w:val="Listenabsatz"/>
        <w:numPr>
          <w:ilvl w:val="1"/>
          <w:numId w:val="2"/>
        </w:numPr>
      </w:pPr>
      <w:r w:rsidRPr="00051575">
        <w:t>Danach konnte</w:t>
      </w:r>
      <w:r>
        <w:rPr>
          <w:b/>
        </w:rPr>
        <w:t xml:space="preserve"> </w:t>
      </w:r>
      <w:r>
        <w:t xml:space="preserve">(seit Solon) </w:t>
      </w:r>
      <w:r w:rsidRPr="008038E0">
        <w:rPr>
          <w:i/>
        </w:rPr>
        <w:t>jeder Bürger</w:t>
      </w:r>
      <w:r>
        <w:t xml:space="preserve"> alle Arten von </w:t>
      </w:r>
      <w:r w:rsidRPr="008038E0">
        <w:t>Rechtsgeschäften</w:t>
      </w:r>
      <w:r>
        <w:t xml:space="preserve"> – nämlich ein-, zw</w:t>
      </w:r>
      <w:r w:rsidR="00566140">
        <w:t>ei- und mehrseitige – schließen,</w:t>
      </w:r>
      <w:r>
        <w:t xml:space="preserve"> </w:t>
      </w:r>
      <w:r w:rsidR="008038E0">
        <w:t>d. h. schenken, kaufen und verkaufen, aber auch Ges</w:t>
      </w:r>
      <w:r w:rsidR="00F348F5">
        <w:t>ellschaften und Vereine gründen;</w:t>
      </w:r>
      <w:r w:rsidR="00566140">
        <w:t xml:space="preserve"> </w:t>
      </w:r>
      <w:r w:rsidR="008038E0">
        <w:t xml:space="preserve"> </w:t>
      </w:r>
    </w:p>
    <w:p w:rsidR="00030AD3" w:rsidRDefault="00030AD3" w:rsidP="00885890">
      <w:pPr>
        <w:pStyle w:val="Listenabsatz"/>
        <w:numPr>
          <w:ilvl w:val="1"/>
          <w:numId w:val="2"/>
        </w:numPr>
      </w:pPr>
      <w:r>
        <w:t xml:space="preserve">und </w:t>
      </w:r>
      <w:r w:rsidRPr="00566140">
        <w:t>jeder Bürger</w:t>
      </w:r>
      <w:r>
        <w:t xml:space="preserve"> hatte Sitz und Stimme in der </w:t>
      </w:r>
      <w:r w:rsidRPr="00566140">
        <w:rPr>
          <w:i/>
        </w:rPr>
        <w:t>Volksversammlung</w:t>
      </w:r>
      <w:r>
        <w:t xml:space="preserve">/Ekklesía und im </w:t>
      </w:r>
      <w:r w:rsidRPr="00566140">
        <w:rPr>
          <w:i/>
        </w:rPr>
        <w:t>Volksgericht</w:t>
      </w:r>
      <w:r>
        <w:t>/Heliaía etc.</w:t>
      </w:r>
      <w:r>
        <w:rPr>
          <w:rStyle w:val="Funotenzeichen"/>
        </w:rPr>
        <w:footnoteReference w:id="38"/>
      </w:r>
    </w:p>
    <w:p w:rsidR="00030AD3" w:rsidRDefault="00030AD3" w:rsidP="00885890">
      <w:pPr>
        <w:pStyle w:val="Listenabsatz"/>
        <w:numPr>
          <w:ilvl w:val="1"/>
          <w:numId w:val="2"/>
        </w:numPr>
      </w:pPr>
      <w:r>
        <w:t xml:space="preserve">Jeder Bürger konnte vor Gericht </w:t>
      </w:r>
      <w:r w:rsidRPr="00566140">
        <w:rPr>
          <w:i/>
        </w:rPr>
        <w:t>klagen</w:t>
      </w:r>
      <w:r>
        <w:t xml:space="preserve"> und </w:t>
      </w:r>
      <w:r w:rsidRPr="00566140">
        <w:rPr>
          <w:i/>
        </w:rPr>
        <w:t>beklagt</w:t>
      </w:r>
      <w:r>
        <w:t xml:space="preserve"> werden; es bestand volle Rechtspersönlichkeit </w:t>
      </w:r>
      <w:r w:rsidR="00F348F5">
        <w:t>nach materiellem</w:t>
      </w:r>
      <w:r>
        <w:t xml:space="preserve"> und </w:t>
      </w:r>
      <w:r w:rsidR="00F348F5">
        <w:t>formellem</w:t>
      </w:r>
      <w:r w:rsidR="00566140">
        <w:t xml:space="preserve"> </w:t>
      </w:r>
      <w:r>
        <w:t>Recht.</w:t>
      </w:r>
      <w:r w:rsidR="00F348F5">
        <w:rPr>
          <w:rStyle w:val="Funotenzeichen"/>
        </w:rPr>
        <w:footnoteReference w:id="39"/>
      </w:r>
    </w:p>
    <w:p w:rsidR="00030AD3" w:rsidRDefault="00030AD3" w:rsidP="006C423B">
      <w:pPr>
        <w:pStyle w:val="Listenabsatz"/>
        <w:numPr>
          <w:ilvl w:val="1"/>
          <w:numId w:val="2"/>
        </w:numPr>
      </w:pPr>
      <w:r>
        <w:t>Diesem Paradigma folgend entwickelte das griechische Recht</w:t>
      </w:r>
      <w:r w:rsidR="00566140">
        <w:t xml:space="preserve"> früh</w:t>
      </w:r>
      <w:r w:rsidR="00510C25">
        <w:t xml:space="preserve"> einen </w:t>
      </w:r>
      <w:r>
        <w:t>er</w:t>
      </w:r>
      <w:r w:rsidR="00510C25">
        <w:t xml:space="preserve">st sehr spät wiederum erreichten, </w:t>
      </w:r>
      <w:r w:rsidRPr="00566140">
        <w:t>umfassen</w:t>
      </w:r>
      <w:r w:rsidRPr="00566140">
        <w:softHyphen/>
        <w:t>den personalen Schutz</w:t>
      </w:r>
      <w:r>
        <w:t xml:space="preserve"> (</w:t>
      </w:r>
      <w:r w:rsidRPr="00566140">
        <w:rPr>
          <w:i/>
        </w:rPr>
        <w:t>Persönlichkeits</w:t>
      </w:r>
      <w:r w:rsidR="00566140">
        <w:rPr>
          <w:i/>
        </w:rPr>
        <w:softHyphen/>
      </w:r>
      <w:r w:rsidRPr="00566140">
        <w:rPr>
          <w:i/>
        </w:rPr>
        <w:t>schutz</w:t>
      </w:r>
      <w:r>
        <w:t>), der im</w:t>
      </w:r>
      <w:r w:rsidR="00510C25">
        <w:t xml:space="preserve"> Perikleischen</w:t>
      </w:r>
      <w:r>
        <w:t xml:space="preserve"> Nomos </w:t>
      </w:r>
      <w:r w:rsidRPr="00566140">
        <w:t>hýbreos</w:t>
      </w:r>
      <w:r>
        <w:t xml:space="preserve"> (~ 450 v.) bereits </w:t>
      </w:r>
      <w:r w:rsidR="00510C25">
        <w:t xml:space="preserve">auf den Schutz der </w:t>
      </w:r>
      <w:r w:rsidRPr="00566140">
        <w:rPr>
          <w:i/>
        </w:rPr>
        <w:t>Menschenwürde</w:t>
      </w:r>
      <w:r>
        <w:t xml:space="preserve"> </w:t>
      </w:r>
      <w:r w:rsidR="00566140">
        <w:t>zielte;</w:t>
      </w:r>
      <w:r>
        <w:t xml:space="preserve"> </w:t>
      </w:r>
      <w:r w:rsidR="00566140">
        <w:t>denn</w:t>
      </w:r>
      <w:r>
        <w:t xml:space="preserve"> er </w:t>
      </w:r>
      <w:r w:rsidR="00566140">
        <w:t xml:space="preserve">schützte </w:t>
      </w:r>
      <w:r>
        <w:t xml:space="preserve">– </w:t>
      </w:r>
      <w:r w:rsidR="00566140">
        <w:t xml:space="preserve">man kann nur sagen: </w:t>
      </w:r>
      <w:r>
        <w:t>hört, hört! – Kinder und Erwachsene, Frauen und Männer sowie Freie und Sklaven</w:t>
      </w:r>
      <w:r w:rsidR="00566140">
        <w:t xml:space="preserve"> gegen jede Art der </w:t>
      </w:r>
      <w:r w:rsidR="00510C25">
        <w:t>Erniedrigung, also Persönlichkeitsverle</w:t>
      </w:r>
      <w:r w:rsidR="00566140">
        <w:t>tzung</w:t>
      </w:r>
      <w:r>
        <w:t>!</w:t>
      </w:r>
      <w:r>
        <w:rPr>
          <w:rStyle w:val="Funotenzeichen"/>
        </w:rPr>
        <w:footnoteReference w:id="40"/>
      </w:r>
    </w:p>
    <w:p w:rsidR="00030AD3" w:rsidRDefault="00030AD3" w:rsidP="006C423B">
      <w:pPr>
        <w:pStyle w:val="Listenabsatz"/>
        <w:numPr>
          <w:ilvl w:val="1"/>
          <w:numId w:val="2"/>
        </w:numPr>
      </w:pPr>
      <w:r>
        <w:t xml:space="preserve">Der </w:t>
      </w:r>
      <w:r w:rsidRPr="003D0B7B">
        <w:t>Grund</w:t>
      </w:r>
      <w:r>
        <w:t xml:space="preserve"> für diese, </w:t>
      </w:r>
      <w:r w:rsidR="00510C25">
        <w:t>Persönlichkeitsf</w:t>
      </w:r>
      <w:r>
        <w:t xml:space="preserve">ördernde Entwicklung war </w:t>
      </w:r>
      <w:r w:rsidR="00510C25">
        <w:t xml:space="preserve">– wie erwähnt – </w:t>
      </w:r>
      <w:r w:rsidRPr="003D0B7B">
        <w:rPr>
          <w:i/>
        </w:rPr>
        <w:t>kein religiöser</w:t>
      </w:r>
      <w:r>
        <w:t xml:space="preserve">, </w:t>
      </w:r>
      <w:r w:rsidRPr="00510C25">
        <w:rPr>
          <w:i/>
        </w:rPr>
        <w:t>philosophischer</w:t>
      </w:r>
      <w:r w:rsidR="00510C25">
        <w:t xml:space="preserve">, </w:t>
      </w:r>
      <w:r w:rsidR="00510C25" w:rsidRPr="00510C25">
        <w:rPr>
          <w:i/>
        </w:rPr>
        <w:t>ethischer</w:t>
      </w:r>
      <w:r>
        <w:t xml:space="preserve"> oder auch nur</w:t>
      </w:r>
      <w:r w:rsidR="00510C25">
        <w:t xml:space="preserve">  </w:t>
      </w:r>
      <w:r w:rsidRPr="00510C25">
        <w:rPr>
          <w:i/>
        </w:rPr>
        <w:t>menschen</w:t>
      </w:r>
      <w:r w:rsidR="00510C25">
        <w:rPr>
          <w:i/>
        </w:rPr>
        <w:t>-</w:t>
      </w:r>
      <w:r w:rsidRPr="00510C25">
        <w:rPr>
          <w:i/>
        </w:rPr>
        <w:t>freundlicher</w:t>
      </w:r>
      <w:r>
        <w:t xml:space="preserve">, sondern lag in den </w:t>
      </w:r>
      <w:r w:rsidRPr="003D0B7B">
        <w:rPr>
          <w:i/>
        </w:rPr>
        <w:t>Erfordernissen</w:t>
      </w:r>
      <w:r>
        <w:t xml:space="preserve"> der </w:t>
      </w:r>
      <w:r w:rsidRPr="003D0B7B">
        <w:rPr>
          <w:i/>
        </w:rPr>
        <w:t>Polisdemokratie</w:t>
      </w:r>
      <w:r>
        <w:t>: Die Polis brauchte</w:t>
      </w:r>
      <w:r w:rsidR="00510C25">
        <w:t xml:space="preserve"> handlungs- und entscheidungsfähige</w:t>
      </w:r>
      <w:r>
        <w:t xml:space="preserve"> Akteure</w:t>
      </w:r>
      <w:r w:rsidR="00510C25">
        <w:t>/Bürger</w:t>
      </w:r>
      <w:r>
        <w:t xml:space="preserve"> für ihre politischen Instituti</w:t>
      </w:r>
      <w:r>
        <w:softHyphen/>
        <w:t>onen</w:t>
      </w:r>
      <w:r w:rsidR="00510C25">
        <w:t>, was es zu schützen</w:t>
      </w:r>
      <w:r>
        <w:t xml:space="preserve"> galt! </w:t>
      </w:r>
    </w:p>
    <w:p w:rsidR="00030AD3" w:rsidRDefault="00030AD3" w:rsidP="004D784B">
      <w:pPr>
        <w:pStyle w:val="Listenabsatz"/>
        <w:numPr>
          <w:ilvl w:val="1"/>
          <w:numId w:val="2"/>
        </w:numPr>
      </w:pPr>
      <w:r>
        <w:t xml:space="preserve">Ich </w:t>
      </w:r>
      <w:r w:rsidR="003D0B7B">
        <w:t>möchte</w:t>
      </w:r>
      <w:r>
        <w:t xml:space="preserve"> für die </w:t>
      </w:r>
      <w:r w:rsidRPr="003D0B7B">
        <w:t>Untersuchung früher Rechtskulturen</w:t>
      </w:r>
      <w:r>
        <w:t xml:space="preserve"> </w:t>
      </w:r>
      <w:r w:rsidR="00850C84">
        <w:t xml:space="preserve">noch </w:t>
      </w:r>
      <w:r>
        <w:t>folgende Beo</w:t>
      </w:r>
      <w:r>
        <w:softHyphen/>
        <w:t xml:space="preserve">bachtung </w:t>
      </w:r>
      <w:r w:rsidR="00850C84">
        <w:t>anschließen</w:t>
      </w:r>
      <w:r>
        <w:t xml:space="preserve">, </w:t>
      </w:r>
      <w:r w:rsidR="00850C84">
        <w:t>da sie</w:t>
      </w:r>
      <w:r>
        <w:t xml:space="preserve"> in den Zusammenhang paßt:</w:t>
      </w:r>
      <w:r w:rsidR="003D0B7B">
        <w:rPr>
          <w:rStyle w:val="Funotenzeichen"/>
        </w:rPr>
        <w:footnoteReference w:id="41"/>
      </w:r>
      <w:r>
        <w:t xml:space="preserve"> Aus der Tatsache, </w:t>
      </w:r>
      <w:r>
        <w:lastRenderedPageBreak/>
        <w:t xml:space="preserve">dass frühen Rechtskulturen bestimmte (moderne) </w:t>
      </w:r>
      <w:r w:rsidRPr="00366DD1">
        <w:t>Begriffe</w:t>
      </w:r>
      <w:r w:rsidR="00366DD1">
        <w:t xml:space="preserve"> fehl</w:t>
      </w:r>
      <w:r>
        <w:t>en, darf nicht darauf ge</w:t>
      </w:r>
      <w:r>
        <w:softHyphen/>
        <w:t>s</w:t>
      </w:r>
      <w:r w:rsidR="00366DD1">
        <w:t>chlossen werden, dass auch das rechtliche</w:t>
      </w:r>
      <w:r>
        <w:t xml:space="preserve"> ‚</w:t>
      </w:r>
      <w:r w:rsidRPr="00366DD1">
        <w:t>Substrat’</w:t>
      </w:r>
      <w:r>
        <w:t xml:space="preserve"> fehlte! </w:t>
      </w:r>
      <w:r w:rsidRPr="00856E95">
        <w:t>–</w:t>
      </w:r>
      <w:r>
        <w:t xml:space="preserve"> Das gilt </w:t>
      </w:r>
      <w:r w:rsidR="00366DD1">
        <w:t>auch</w:t>
      </w:r>
      <w:r>
        <w:t xml:space="preserve"> für den </w:t>
      </w:r>
      <w:r w:rsidR="00366DD1">
        <w:t>Prozeß der Individualisierung, für die der zentrale rechtliche Begriff</w:t>
      </w:r>
      <w:r>
        <w:t xml:space="preserve"> ‚</w:t>
      </w:r>
      <w:r w:rsidRPr="00366DD1">
        <w:rPr>
          <w:i/>
        </w:rPr>
        <w:t>Rechtsfähig</w:t>
      </w:r>
      <w:r w:rsidRPr="00366DD1">
        <w:rPr>
          <w:i/>
        </w:rPr>
        <w:softHyphen/>
        <w:t>keit</w:t>
      </w:r>
      <w:r w:rsidRPr="00366DD1">
        <w:t>’</w:t>
      </w:r>
      <w:r w:rsidR="00366DD1" w:rsidRPr="00366DD1">
        <w:t xml:space="preserve"> </w:t>
      </w:r>
      <w:r w:rsidR="00366DD1">
        <w:t>fehlte</w:t>
      </w:r>
      <w:r w:rsidR="00050372">
        <w:t>;</w:t>
      </w:r>
      <w:r w:rsidR="00366DD1">
        <w:t xml:space="preserve"> und</w:t>
      </w:r>
      <w:r w:rsidR="00050372">
        <w:t xml:space="preserve"> dies</w:t>
      </w:r>
      <w:r w:rsidR="00366DD1">
        <w:t xml:space="preserve"> </w:t>
      </w:r>
      <w:r>
        <w:t>nicht nur in Griechenland</w:t>
      </w:r>
      <w:r w:rsidR="00050372">
        <w:t>,</w:t>
      </w:r>
      <w:r>
        <w:t xml:space="preserve"> son</w:t>
      </w:r>
      <w:r>
        <w:softHyphen/>
        <w:t xml:space="preserve">dern </w:t>
      </w:r>
      <w:r w:rsidR="00050372">
        <w:t xml:space="preserve">auch noch in Rom und </w:t>
      </w:r>
      <w:r>
        <w:t>überhaupt in der Antike.</w:t>
      </w:r>
      <w:r>
        <w:rPr>
          <w:rStyle w:val="Funotenzeichen"/>
        </w:rPr>
        <w:footnoteReference w:id="42"/>
      </w:r>
      <w:r>
        <w:t xml:space="preserve"> – Aber es existierten in Griechenland </w:t>
      </w:r>
      <w:r w:rsidR="002436EB">
        <w:t xml:space="preserve">und </w:t>
      </w:r>
      <w:r>
        <w:t>in Rom</w:t>
      </w:r>
      <w:r w:rsidR="002436EB">
        <w:t xml:space="preserve"> (und wohl auch anderswo)</w:t>
      </w:r>
      <w:r>
        <w:t xml:space="preserve"> Regeln über den </w:t>
      </w:r>
      <w:r w:rsidRPr="002436EB">
        <w:t>Ausschluß</w:t>
      </w:r>
      <w:r>
        <w:t xml:space="preserve"> von Bürgern aus der Rechts</w:t>
      </w:r>
      <w:r>
        <w:softHyphen/>
        <w:t>gemeinschaft:</w:t>
      </w:r>
      <w:r w:rsidR="002436EB">
        <w:t xml:space="preserve"> in Griechenland war es die</w:t>
      </w:r>
      <w:r>
        <w:t xml:space="preserve"> </w:t>
      </w:r>
      <w:r w:rsidRPr="002436EB">
        <w:rPr>
          <w:i/>
        </w:rPr>
        <w:t>Atimie</w:t>
      </w:r>
      <w:r w:rsidR="002436EB">
        <w:t>, in Rom die</w:t>
      </w:r>
      <w:r>
        <w:t xml:space="preserve"> </w:t>
      </w:r>
      <w:r w:rsidRPr="002436EB">
        <w:rPr>
          <w:i/>
        </w:rPr>
        <w:t>capitis diminutio</w:t>
      </w:r>
      <w:r>
        <w:t xml:space="preserve">. Man </w:t>
      </w:r>
      <w:r w:rsidR="00050372">
        <w:t>kann</w:t>
      </w:r>
      <w:r>
        <w:t xml:space="preserve"> daher vom Vorhan</w:t>
      </w:r>
      <w:r>
        <w:softHyphen/>
        <w:t>densein des negativen Begriffs des Entzugs der ‚Rechtsfähigkeit’ auf die Existenz von Rechtsfähigkeit</w:t>
      </w:r>
      <w:r w:rsidR="00E772B7">
        <w:t xml:space="preserve"> (in diesen Rechtsordnungen)</w:t>
      </w:r>
      <w:r>
        <w:t xml:space="preserve"> schließen!</w:t>
      </w:r>
    </w:p>
    <w:p w:rsidR="00030AD3" w:rsidRDefault="00030AD3" w:rsidP="004E672F">
      <w:pPr>
        <w:pStyle w:val="Listenabsatz"/>
        <w:ind w:left="1080"/>
      </w:pPr>
    </w:p>
    <w:p w:rsidR="00EE234B" w:rsidRDefault="00505A64" w:rsidP="0047463C">
      <w:pPr>
        <w:numPr>
          <w:ilvl w:val="0"/>
          <w:numId w:val="16"/>
        </w:numPr>
        <w:spacing w:after="240" w:line="120" w:lineRule="atLeast"/>
      </w:pPr>
      <w:r>
        <w:t>Erstaunlicherweise wurden in dieser rechtlich wichtigen Frage ganz unrichtige Ansichten verbreitet, die weitergewirkt haben und zumeist ohne Prüfung übernommen wurden und dadurch falsche Meinungen erzeugt haben. H. Wimmer schreibt in dem von Bielefelder Strafrechtlicher E.-J. Lampe herausgegebenen Sammelband:</w:t>
      </w:r>
      <w:r>
        <w:rPr>
          <w:rStyle w:val="Funotenzeichen"/>
        </w:rPr>
        <w:footnoteReference w:id="43"/>
      </w:r>
      <w:r>
        <w:t xml:space="preserve"> </w:t>
      </w:r>
    </w:p>
    <w:p w:rsidR="00EE234B" w:rsidRDefault="00505A64" w:rsidP="00EE234B">
      <w:pPr>
        <w:spacing w:after="240" w:line="120" w:lineRule="atLeast"/>
        <w:ind w:left="720"/>
      </w:pPr>
      <w:r w:rsidRPr="00EE234B">
        <w:rPr>
          <w:sz w:val="20"/>
          <w:szCs w:val="20"/>
        </w:rPr>
        <w:t>„In Athen und Rom unterliegen alle Personen, die zum Oikos eines Herren gehören (Frauen, Kinder, Klienten), der potestas des pater familias und sind daher nicht rechts- bzw. gerichtsfähig.“</w:t>
      </w:r>
      <w:r>
        <w:t xml:space="preserve"> </w:t>
      </w:r>
      <w:r w:rsidR="00EE234B">
        <w:t xml:space="preserve">Usw. </w:t>
      </w:r>
    </w:p>
    <w:p w:rsidR="00030AD3" w:rsidRDefault="00505A64" w:rsidP="00EE234B">
      <w:pPr>
        <w:spacing w:after="240" w:line="120" w:lineRule="atLeast"/>
        <w:ind w:left="720"/>
      </w:pPr>
      <w:r>
        <w:t>Das kann nur als profunder Unsinn bezeichnet werden. Diese Irrtümer richtigzustellen ist</w:t>
      </w:r>
      <w:r w:rsidR="00EE234B">
        <w:t xml:space="preserve"> aber</w:t>
      </w:r>
      <w:r>
        <w:t xml:space="preserve"> schon deshalb von Bedeutung, weil es sich nicht um nebensächliche Fragen handelt, sondern solche, die erklären können, warum sich die Demokratie zwar in Griechenland entwickeln konnte, nicht aber in Rom.</w:t>
      </w:r>
      <w:r w:rsidR="00EE234B">
        <w:rPr>
          <w:rStyle w:val="Funotenzeichen"/>
        </w:rPr>
        <w:footnoteReference w:id="44"/>
      </w:r>
      <w:r>
        <w:t xml:space="preserve"> Das hat seinen Grund schon in der historischen Familienstruktur.</w:t>
      </w:r>
      <w:r w:rsidR="00EE234B">
        <w:t xml:space="preserve"> – </w:t>
      </w:r>
      <w:r w:rsidR="00030AD3">
        <w:t xml:space="preserve">Das </w:t>
      </w:r>
      <w:r w:rsidR="00030AD3" w:rsidRPr="002C2C7E">
        <w:rPr>
          <w:i/>
        </w:rPr>
        <w:t>römische Familienmodell</w:t>
      </w:r>
      <w:r w:rsidR="00030AD3">
        <w:t xml:space="preserve"> war – verglichen mit dem griechischen</w:t>
      </w:r>
      <w:r w:rsidR="00030AD3">
        <w:rPr>
          <w:rStyle w:val="Funotenzeichen"/>
        </w:rPr>
        <w:footnoteReference w:id="45"/>
      </w:r>
      <w:r w:rsidR="00030AD3">
        <w:t xml:space="preserve"> – geradezu </w:t>
      </w:r>
      <w:r w:rsidR="00030AD3" w:rsidRPr="00DC048F">
        <w:rPr>
          <w:i/>
        </w:rPr>
        <w:t>individua</w:t>
      </w:r>
      <w:r w:rsidR="00030AD3" w:rsidRPr="00DC048F">
        <w:rPr>
          <w:i/>
        </w:rPr>
        <w:softHyphen/>
        <w:t>lisierungsfeindlich</w:t>
      </w:r>
      <w:r w:rsidR="00030AD3">
        <w:t xml:space="preserve"> und praktisch</w:t>
      </w:r>
      <w:r w:rsidR="001674E7">
        <w:t xml:space="preserve"> wenig</w:t>
      </w:r>
      <w:r w:rsidR="00030AD3">
        <w:t xml:space="preserve"> </w:t>
      </w:r>
      <w:r w:rsidR="00030AD3" w:rsidRPr="002C2C7E">
        <w:t>brauchbar</w:t>
      </w:r>
      <w:r w:rsidR="00030AD3">
        <w:t>!</w:t>
      </w:r>
      <w:r w:rsidR="002C2C7E">
        <w:t xml:space="preserve"> Die Kompliziertheit </w:t>
      </w:r>
      <w:r w:rsidR="00DC048F">
        <w:t>des</w:t>
      </w:r>
      <w:r w:rsidR="002C2C7E">
        <w:t xml:space="preserve"> Modells zwang zu umständlichen </w:t>
      </w:r>
      <w:r w:rsidR="00EE234B">
        <w:t xml:space="preserve">rechtlichen </w:t>
      </w:r>
      <w:r w:rsidR="002C2C7E">
        <w:t>Konstruktionen.</w:t>
      </w:r>
      <w:r w:rsidR="002C2C7E">
        <w:rPr>
          <w:rStyle w:val="Funotenzeichen"/>
        </w:rPr>
        <w:footnoteReference w:id="46"/>
      </w:r>
      <w:r w:rsidR="002C2C7E">
        <w:t xml:space="preserve"> </w:t>
      </w:r>
      <w:r w:rsidR="00030AD3">
        <w:t xml:space="preserve"> </w:t>
      </w:r>
    </w:p>
    <w:p w:rsidR="00030AD3" w:rsidRDefault="00DC048F" w:rsidP="0047463C">
      <w:pPr>
        <w:numPr>
          <w:ilvl w:val="0"/>
          <w:numId w:val="16"/>
        </w:numPr>
        <w:spacing w:after="240" w:line="120" w:lineRule="atLeast"/>
      </w:pPr>
      <w:r>
        <w:t>Die Praktikabilität des griechischen Rechtsdenkens wurde durch einfache, klare und daher für viele verständliche Lösungen erreicht.</w:t>
      </w:r>
      <w:r>
        <w:rPr>
          <w:rStyle w:val="Funotenzeichen"/>
        </w:rPr>
        <w:footnoteReference w:id="47"/>
      </w:r>
      <w:r>
        <w:t xml:space="preserve"> </w:t>
      </w:r>
      <w:r w:rsidR="00B94E50">
        <w:t xml:space="preserve">– </w:t>
      </w:r>
      <w:r w:rsidR="00030AD3">
        <w:t>Die griechische</w:t>
      </w:r>
      <w:r w:rsidR="00030AD3" w:rsidRPr="00856E95">
        <w:t xml:space="preserve"> </w:t>
      </w:r>
      <w:r w:rsidR="00030AD3">
        <w:t xml:space="preserve">Entwicklung zum Individuum und die dazu </w:t>
      </w:r>
      <w:r>
        <w:t>nötigen</w:t>
      </w:r>
      <w:r w:rsidR="00030AD3">
        <w:t xml:space="preserve"> Rechtsanschau</w:t>
      </w:r>
      <w:r w:rsidR="00030AD3">
        <w:softHyphen/>
        <w:t>ungen zeigen sich am deu</w:t>
      </w:r>
      <w:r w:rsidR="00030AD3" w:rsidRPr="00856E95">
        <w:t>tlichst</w:t>
      </w:r>
      <w:r w:rsidR="00030AD3">
        <w:t>en</w:t>
      </w:r>
      <w:r w:rsidR="00B94E50">
        <w:t xml:space="preserve"> in den privatrechtlich ältesten Rechtsgebieten, nämlich</w:t>
      </w:r>
      <w:r w:rsidR="00030AD3">
        <w:t xml:space="preserve"> im </w:t>
      </w:r>
      <w:r w:rsidR="00B94E50">
        <w:rPr>
          <w:i/>
        </w:rPr>
        <w:t xml:space="preserve">Familienrecht </w:t>
      </w:r>
      <w:r w:rsidR="00B94E50" w:rsidRPr="00B94E50">
        <w:t>(</w:t>
      </w:r>
      <w:r>
        <w:t>und davon ausgehend im</w:t>
      </w:r>
      <w:r w:rsidR="00030AD3" w:rsidRPr="00856E95">
        <w:t xml:space="preserve"> </w:t>
      </w:r>
      <w:r w:rsidR="00030AD3" w:rsidRPr="00DC048F">
        <w:rPr>
          <w:i/>
        </w:rPr>
        <w:t>Sachen-</w:t>
      </w:r>
      <w:r w:rsidR="00030AD3">
        <w:t xml:space="preserve"> und </w:t>
      </w:r>
      <w:r w:rsidR="00030AD3" w:rsidRPr="00DC048F">
        <w:rPr>
          <w:i/>
        </w:rPr>
        <w:t>Erbrecht</w:t>
      </w:r>
      <w:r w:rsidR="00030AD3">
        <w:t xml:space="preserve">. Das </w:t>
      </w:r>
      <w:r w:rsidR="00030AD3" w:rsidRPr="00DC048F">
        <w:t>Familienrecht</w:t>
      </w:r>
      <w:r w:rsidR="00030AD3">
        <w:t xml:space="preserve"> </w:t>
      </w:r>
      <w:r w:rsidR="00B94E50" w:rsidRPr="00B94E50">
        <w:t>als Recht des Oikos)</w:t>
      </w:r>
      <w:r w:rsidR="00B94E50">
        <w:t xml:space="preserve"> </w:t>
      </w:r>
      <w:r w:rsidR="00030AD3">
        <w:t xml:space="preserve">wirkte </w:t>
      </w:r>
      <w:r>
        <w:t xml:space="preserve">funktional </w:t>
      </w:r>
      <w:r w:rsidR="00030AD3">
        <w:t xml:space="preserve">als </w:t>
      </w:r>
      <w:r w:rsidR="00030AD3" w:rsidRPr="00DC048F">
        <w:rPr>
          <w:i/>
        </w:rPr>
        <w:t>Normgenerator</w:t>
      </w:r>
      <w:r w:rsidR="00030AD3">
        <w:t xml:space="preserve">, aus dem sich alles </w:t>
      </w:r>
      <w:r>
        <w:t>weitere</w:t>
      </w:r>
      <w:r w:rsidR="00030AD3">
        <w:t xml:space="preserve"> ent</w:t>
      </w:r>
      <w:r w:rsidR="00030AD3">
        <w:softHyphen/>
        <w:t>wickelte</w:t>
      </w:r>
      <w:r>
        <w:t>, privat- wie öffentlichrechtlich!</w:t>
      </w:r>
      <w:r w:rsidR="00030AD3">
        <w:rPr>
          <w:rStyle w:val="Funotenzeichen"/>
        </w:rPr>
        <w:footnoteReference w:id="48"/>
      </w:r>
      <w:r w:rsidR="00030AD3">
        <w:t xml:space="preserve"> Das gilt</w:t>
      </w:r>
      <w:r w:rsidR="00B94E50">
        <w:t xml:space="preserve"> </w:t>
      </w:r>
      <w:r>
        <w:t xml:space="preserve">– cum grano salis – </w:t>
      </w:r>
      <w:r w:rsidR="00B94E50">
        <w:t xml:space="preserve">wohl </w:t>
      </w:r>
      <w:r w:rsidR="00030AD3">
        <w:t xml:space="preserve">auch für </w:t>
      </w:r>
      <w:r w:rsidR="00B94E50">
        <w:t xml:space="preserve">manch </w:t>
      </w:r>
      <w:r w:rsidR="00030AD3">
        <w:t>andere Kultur!</w:t>
      </w:r>
      <w:r>
        <w:t xml:space="preserve"> </w:t>
      </w:r>
      <w:r>
        <w:lastRenderedPageBreak/>
        <w:t>Im historischen Vergleich wäre das zu beachten.</w:t>
      </w:r>
      <w:r w:rsidR="00030AD3">
        <w:t xml:space="preserve"> – Aus dem Familienrecht entwickelte sich</w:t>
      </w:r>
      <w:r w:rsidR="00B94E50">
        <w:t xml:space="preserve"> etwa</w:t>
      </w:r>
      <w:r w:rsidR="00030AD3">
        <w:t>:</w:t>
      </w:r>
      <w:r w:rsidR="00B94E50">
        <w:rPr>
          <w:rStyle w:val="Funotenzeichen"/>
        </w:rPr>
        <w:footnoteReference w:id="49"/>
      </w:r>
    </w:p>
    <w:p w:rsidR="00030AD3" w:rsidRDefault="00D5160C" w:rsidP="00FC05D2">
      <w:pPr>
        <w:pStyle w:val="Listenabsatz"/>
        <w:numPr>
          <w:ilvl w:val="1"/>
          <w:numId w:val="2"/>
        </w:numPr>
      </w:pPr>
      <w:r>
        <w:t xml:space="preserve"> D</w:t>
      </w:r>
      <w:r w:rsidR="00030AD3">
        <w:t xml:space="preserve">as </w:t>
      </w:r>
      <w:r w:rsidR="00030AD3" w:rsidRPr="00D5160C">
        <w:rPr>
          <w:i/>
        </w:rPr>
        <w:t>Eigentum</w:t>
      </w:r>
      <w:r w:rsidR="00030AD3">
        <w:t xml:space="preserve">, zuerst als </w:t>
      </w:r>
      <w:r w:rsidR="00030AD3" w:rsidRPr="00D5160C">
        <w:rPr>
          <w:i/>
        </w:rPr>
        <w:t>Familieneigentum</w:t>
      </w:r>
      <w:r w:rsidR="00030AD3" w:rsidRPr="00E3027D">
        <w:rPr>
          <w:rStyle w:val="Funotenzeichen"/>
        </w:rPr>
        <w:footnoteReference w:id="50"/>
      </w:r>
      <w:r w:rsidR="00030AD3">
        <w:t xml:space="preserve"> und </w:t>
      </w:r>
      <w:r>
        <w:t xml:space="preserve">erst </w:t>
      </w:r>
      <w:r w:rsidR="00B94E50">
        <w:t>deutlich</w:t>
      </w:r>
      <w:r>
        <w:t xml:space="preserve"> später</w:t>
      </w:r>
      <w:r w:rsidR="00030AD3">
        <w:t xml:space="preserve"> </w:t>
      </w:r>
      <w:r w:rsidR="00B94E50">
        <w:t xml:space="preserve">als </w:t>
      </w:r>
      <w:r w:rsidR="00030AD3" w:rsidRPr="00D5160C">
        <w:rPr>
          <w:i/>
        </w:rPr>
        <w:t>Individual</w:t>
      </w:r>
      <w:r>
        <w:rPr>
          <w:i/>
        </w:rPr>
        <w:softHyphen/>
      </w:r>
      <w:r w:rsidR="00030AD3" w:rsidRPr="00D5160C">
        <w:rPr>
          <w:i/>
        </w:rPr>
        <w:t>eigen</w:t>
      </w:r>
      <w:r w:rsidR="00030AD3" w:rsidRPr="00D5160C">
        <w:rPr>
          <w:i/>
        </w:rPr>
        <w:softHyphen/>
        <w:t>tum</w:t>
      </w:r>
      <w:r>
        <w:t xml:space="preserve">; und dieses </w:t>
      </w:r>
      <w:r w:rsidR="00030AD3">
        <w:t>zunächst an Fahrnis</w:t>
      </w:r>
      <w:r w:rsidR="00B94E50">
        <w:t xml:space="preserve"> (hier wiederum zuerst an persönlichen Gegenständen: Kleidung, Werkzeuge, Waffen oder Schmuck)</w:t>
      </w:r>
      <w:r>
        <w:t xml:space="preserve">, also </w:t>
      </w:r>
      <w:r w:rsidR="00B94E50">
        <w:t>beweglichen</w:t>
      </w:r>
      <w:r w:rsidR="00030AD3">
        <w:t xml:space="preserve"> Sachen</w:t>
      </w:r>
      <w:r>
        <w:t xml:space="preserve"> und erst wesentlich später an Liegenschaften</w:t>
      </w:r>
      <w:r w:rsidR="00030AD3">
        <w:t>.</w:t>
      </w:r>
      <w:r w:rsidR="00030AD3">
        <w:rPr>
          <w:rStyle w:val="Funotenzeichen"/>
        </w:rPr>
        <w:footnoteReference w:id="51"/>
      </w:r>
    </w:p>
    <w:p w:rsidR="00030AD3" w:rsidRDefault="00030AD3" w:rsidP="00FC05D2">
      <w:pPr>
        <w:pStyle w:val="Listenabsatz"/>
        <w:numPr>
          <w:ilvl w:val="1"/>
          <w:numId w:val="2"/>
        </w:numPr>
      </w:pPr>
      <w:r>
        <w:t>Aus dem Schoß</w:t>
      </w:r>
      <w:r w:rsidR="00B94E50">
        <w:t>e</w:t>
      </w:r>
      <w:r>
        <w:t xml:space="preserve"> der Familie </w:t>
      </w:r>
      <w:r w:rsidR="00B94E50">
        <w:t>enstand</w:t>
      </w:r>
      <w:r>
        <w:t xml:space="preserve"> auch das für den Individuali</w:t>
      </w:r>
      <w:r>
        <w:softHyphen/>
        <w:t>sierungs</w:t>
      </w:r>
      <w:r>
        <w:softHyphen/>
        <w:t xml:space="preserve">prozeß wichtige </w:t>
      </w:r>
      <w:r w:rsidRPr="00D5160C">
        <w:rPr>
          <w:i/>
        </w:rPr>
        <w:t>Erbrecht</w:t>
      </w:r>
      <w:r>
        <w:t xml:space="preserve">; und zwar </w:t>
      </w:r>
      <w:r w:rsidR="00D5160C">
        <w:t>in der bis heute gültigen Dicho</w:t>
      </w:r>
      <w:r w:rsidR="00D5160C">
        <w:softHyphen/>
        <w:t xml:space="preserve">tomie von </w:t>
      </w:r>
      <w:r>
        <w:t xml:space="preserve"> gesetzliche</w:t>
      </w:r>
      <w:r w:rsidR="00D5160C">
        <w:t>m</w:t>
      </w:r>
      <w:r>
        <w:t xml:space="preserve"> und gewillkürte</w:t>
      </w:r>
      <w:r w:rsidR="00D5160C">
        <w:t>m</w:t>
      </w:r>
      <w:r>
        <w:t xml:space="preserve"> </w:t>
      </w:r>
      <w:r w:rsidR="00D5160C">
        <w:t>Erbrecht</w:t>
      </w:r>
      <w:r>
        <w:t>.</w:t>
      </w:r>
      <w:r>
        <w:rPr>
          <w:rStyle w:val="Funotenzeichen"/>
        </w:rPr>
        <w:footnoteReference w:id="52"/>
      </w:r>
      <w:r w:rsidR="00D5160C">
        <w:t xml:space="preserve"> – Ich folge </w:t>
      </w:r>
      <w:r w:rsidR="00B94E50">
        <w:t>diesbezüglich</w:t>
      </w:r>
      <w:r w:rsidR="00D5160C">
        <w:t xml:space="preserve"> den grundlegenden, wenngleich – aus welchen Gründen auch immer – kaum mehr beachteten Ausführungen von Eberhart Friedrich Bruck</w:t>
      </w:r>
      <w:r w:rsidR="00B94E50">
        <w:t>,</w:t>
      </w:r>
      <w:r w:rsidR="00D5160C">
        <w:t xml:space="preserve"> </w:t>
      </w:r>
      <w:r w:rsidR="00B94E50">
        <w:t>der in Wahrheit als</w:t>
      </w:r>
      <w:r w:rsidR="00D5160C">
        <w:t xml:space="preserve"> </w:t>
      </w:r>
      <w:r w:rsidR="00B94E50">
        <w:t>unterdrückter und verdrängter</w:t>
      </w:r>
      <w:r w:rsidR="00D5160C">
        <w:t xml:space="preserve"> Klassiker der Rechtsgeschichte und des historischen Rechtsvergleichs</w:t>
      </w:r>
      <w:r w:rsidR="00B94E50">
        <w:t xml:space="preserve"> einzuschätzen ist</w:t>
      </w:r>
      <w:r w:rsidR="00D5160C">
        <w:t>!</w:t>
      </w:r>
      <w:r w:rsidR="00D5160C">
        <w:rPr>
          <w:rStyle w:val="Funotenzeichen"/>
        </w:rPr>
        <w:footnoteReference w:id="53"/>
      </w:r>
      <w:r w:rsidR="00D5160C">
        <w:t xml:space="preserve"> </w:t>
      </w:r>
    </w:p>
    <w:p w:rsidR="00030AD3" w:rsidRDefault="00030AD3" w:rsidP="00FC05D2">
      <w:pPr>
        <w:pStyle w:val="Listenabsatz"/>
        <w:numPr>
          <w:ilvl w:val="1"/>
          <w:numId w:val="2"/>
        </w:numPr>
      </w:pPr>
      <w:r>
        <w:t xml:space="preserve">Familiärer Praxis entstammt auch die </w:t>
      </w:r>
      <w:r w:rsidRPr="00D5160C">
        <w:rPr>
          <w:i/>
        </w:rPr>
        <w:t>Schenkung</w:t>
      </w:r>
      <w:r>
        <w:t xml:space="preserve"> (als Prototyp der </w:t>
      </w:r>
      <w:r w:rsidRPr="00D5160C">
        <w:rPr>
          <w:i/>
        </w:rPr>
        <w:t>un-entgelt</w:t>
      </w:r>
      <w:r w:rsidRPr="00D5160C">
        <w:rPr>
          <w:i/>
        </w:rPr>
        <w:softHyphen/>
        <w:t>lichen</w:t>
      </w:r>
      <w:r>
        <w:t xml:space="preserve"> </w:t>
      </w:r>
      <w:r w:rsidR="00D5160C">
        <w:t xml:space="preserve">oder </w:t>
      </w:r>
      <w:r w:rsidR="00D5160C" w:rsidRPr="00D5160C">
        <w:rPr>
          <w:i/>
        </w:rPr>
        <w:t>freigebigen</w:t>
      </w:r>
      <w:r w:rsidR="00D5160C">
        <w:t xml:space="preserve"> </w:t>
      </w:r>
      <w:r>
        <w:t xml:space="preserve">Geschäfte), woraus sich die </w:t>
      </w:r>
      <w:r w:rsidRPr="00D5160C">
        <w:rPr>
          <w:i/>
        </w:rPr>
        <w:t>entgeltlichen</w:t>
      </w:r>
      <w:r>
        <w:t xml:space="preserve"> Geschäfte</w:t>
      </w:r>
      <w:r w:rsidR="00D5160C">
        <w:t xml:space="preserve">, insbesondere </w:t>
      </w:r>
      <w:r w:rsidRPr="00D5160C">
        <w:rPr>
          <w:i/>
        </w:rPr>
        <w:t>Tausch</w:t>
      </w:r>
      <w:r>
        <w:t xml:space="preserve"> und </w:t>
      </w:r>
      <w:r w:rsidRPr="00D5160C">
        <w:rPr>
          <w:i/>
        </w:rPr>
        <w:t>Kauf</w:t>
      </w:r>
      <w:r w:rsidR="00D5160C">
        <w:t xml:space="preserve"> entwickelt haben</w:t>
      </w:r>
      <w:r>
        <w:t>.</w:t>
      </w:r>
      <w:r>
        <w:rPr>
          <w:rStyle w:val="Funotenzeichen"/>
        </w:rPr>
        <w:footnoteReference w:id="54"/>
      </w:r>
      <w:r>
        <w:t xml:space="preserve"> </w:t>
      </w:r>
    </w:p>
    <w:p w:rsidR="00030AD3" w:rsidRDefault="00030AD3" w:rsidP="00090DB2">
      <w:pPr>
        <w:pStyle w:val="Listenabsatz"/>
        <w:ind w:left="1080"/>
      </w:pPr>
      <w:r>
        <w:t xml:space="preserve">  </w:t>
      </w:r>
    </w:p>
    <w:p w:rsidR="00030AD3" w:rsidRDefault="00030AD3" w:rsidP="0047463C">
      <w:pPr>
        <w:numPr>
          <w:ilvl w:val="0"/>
          <w:numId w:val="16"/>
        </w:numPr>
        <w:spacing w:after="240" w:line="120" w:lineRule="atLeast"/>
      </w:pPr>
      <w:r w:rsidRPr="00856E95">
        <w:t xml:space="preserve">Die </w:t>
      </w:r>
      <w:r w:rsidRPr="00D7058A">
        <w:rPr>
          <w:i/>
        </w:rPr>
        <w:t>Organisation der griechischen Familie</w:t>
      </w:r>
      <w:r w:rsidRPr="00856E95">
        <w:t xml:space="preserve"> wurzelt</w:t>
      </w:r>
      <w:r>
        <w:t>e</w:t>
      </w:r>
      <w:r w:rsidRPr="00856E95">
        <w:t xml:space="preserve"> in der </w:t>
      </w:r>
      <w:r w:rsidRPr="00D7058A">
        <w:rPr>
          <w:i/>
        </w:rPr>
        <w:t>Idee des Hauses</w:t>
      </w:r>
      <w:r>
        <w:t>,</w:t>
      </w:r>
      <w:r>
        <w:rPr>
          <w:rStyle w:val="Funotenzeichen"/>
        </w:rPr>
        <w:footnoteReference w:id="55"/>
      </w:r>
      <w:r>
        <w:t xml:space="preserve"> d</w:t>
      </w:r>
      <w:r w:rsidRPr="00856E95">
        <w:t xml:space="preserve">as nicht so </w:t>
      </w:r>
      <w:r>
        <w:t>starr konzipiert</w:t>
      </w:r>
      <w:r w:rsidRPr="00856E95">
        <w:t xml:space="preserve"> </w:t>
      </w:r>
      <w:r>
        <w:t xml:space="preserve">war </w:t>
      </w:r>
      <w:r w:rsidRPr="00856E95">
        <w:t xml:space="preserve">wie die </w:t>
      </w:r>
      <w:r w:rsidRPr="00D7058A">
        <w:rPr>
          <w:i/>
        </w:rPr>
        <w:t>römische Familie</w:t>
      </w:r>
      <w:r w:rsidRPr="00856E95">
        <w:t xml:space="preserve">, </w:t>
      </w:r>
      <w:r>
        <w:t>in</w:t>
      </w:r>
      <w:r w:rsidRPr="00856E95">
        <w:t xml:space="preserve"> der</w:t>
      </w:r>
      <w:r>
        <w:t xml:space="preserve"> der</w:t>
      </w:r>
      <w:r w:rsidRPr="00856E95">
        <w:t xml:space="preserve"> </w:t>
      </w:r>
      <w:r w:rsidRPr="00D7058A">
        <w:t>Hausvater</w:t>
      </w:r>
      <w:r>
        <w:t>/pater familias</w:t>
      </w:r>
      <w:r w:rsidRPr="00856E95">
        <w:t xml:space="preserve"> leb</w:t>
      </w:r>
      <w:r>
        <w:t>enslang seine Gewalt über alle Mitg</w:t>
      </w:r>
      <w:r w:rsidRPr="00856E95">
        <w:t>lieder des Hauses</w:t>
      </w:r>
      <w:r>
        <w:t>, auch die Söhne,</w:t>
      </w:r>
      <w:r w:rsidRPr="00856E95">
        <w:t xml:space="preserve"> </w:t>
      </w:r>
      <w:r>
        <w:t>ausübte</w:t>
      </w:r>
      <w:r w:rsidRPr="00856E95">
        <w:t xml:space="preserve">. </w:t>
      </w:r>
    </w:p>
    <w:p w:rsidR="00030AD3" w:rsidRDefault="00030AD3" w:rsidP="004E672F">
      <w:pPr>
        <w:pStyle w:val="Listenabsatz"/>
        <w:numPr>
          <w:ilvl w:val="1"/>
          <w:numId w:val="2"/>
        </w:numPr>
      </w:pPr>
      <w:r>
        <w:t>In griechischen Poleis erlangte dagegen</w:t>
      </w:r>
      <w:r w:rsidRPr="00856E95">
        <w:t xml:space="preserve"> der </w:t>
      </w:r>
      <w:r w:rsidRPr="00D7058A">
        <w:rPr>
          <w:i/>
        </w:rPr>
        <w:t>Sohn</w:t>
      </w:r>
      <w:r w:rsidRPr="00856E95">
        <w:t xml:space="preserve"> </w:t>
      </w:r>
      <w:r w:rsidR="00D7058A">
        <w:t xml:space="preserve">privatrechtlich und politisch </w:t>
      </w:r>
      <w:r>
        <w:t>idR m</w:t>
      </w:r>
      <w:r w:rsidRPr="00856E95">
        <w:t xml:space="preserve">it </w:t>
      </w:r>
      <w:r>
        <w:t>dem 18. Lebensjahr</w:t>
      </w:r>
      <w:r w:rsidRPr="00856E95">
        <w:t xml:space="preserve"> volle Selbständigkeit</w:t>
      </w:r>
      <w:r>
        <w:t>;</w:t>
      </w:r>
      <w:r w:rsidRPr="00856E95">
        <w:t xml:space="preserve"> </w:t>
      </w:r>
      <w:r w:rsidR="00D7058A">
        <w:t>Volljährigkeit im Sinne</w:t>
      </w:r>
      <w:r>
        <w:t xml:space="preserve"> volle</w:t>
      </w:r>
      <w:r w:rsidR="00D7058A">
        <w:t>r</w:t>
      </w:r>
      <w:r>
        <w:t xml:space="preserve"> Rechts</w:t>
      </w:r>
      <w:r w:rsidR="00F16A56">
        <w:t>- und Handlungs</w:t>
      </w:r>
      <w:r>
        <w:t>fähig</w:t>
      </w:r>
      <w:r>
        <w:softHyphen/>
        <w:t>keit.</w:t>
      </w:r>
      <w:r w:rsidR="00D7058A">
        <w:rPr>
          <w:rStyle w:val="Funotenzeichen"/>
        </w:rPr>
        <w:footnoteReference w:id="56"/>
      </w:r>
      <w:r w:rsidR="00D7058A">
        <w:t xml:space="preserve"> </w:t>
      </w:r>
      <w:r w:rsidR="00F16A56">
        <w:t xml:space="preserve">– </w:t>
      </w:r>
      <w:r w:rsidRPr="00856E95">
        <w:t>Vater</w:t>
      </w:r>
      <w:r>
        <w:t xml:space="preserve"> </w:t>
      </w:r>
      <w:r w:rsidR="00D7058A">
        <w:t xml:space="preserve">und Eltern </w:t>
      </w:r>
      <w:r>
        <w:t>schuldete</w:t>
      </w:r>
      <w:r w:rsidR="00D7058A">
        <w:t xml:space="preserve"> der Sohn</w:t>
      </w:r>
      <w:r>
        <w:t xml:space="preserve"> dann nur </w:t>
      </w:r>
      <w:r w:rsidR="00D7058A">
        <w:t>mehr gewisse Pietäts- und bei Not Unterhaltspflich</w:t>
      </w:r>
      <w:r w:rsidR="00D7058A">
        <w:softHyphen/>
        <w:t>ten.</w:t>
      </w:r>
      <w:r w:rsidR="00D7058A">
        <w:rPr>
          <w:rStyle w:val="Funotenzeichen"/>
        </w:rPr>
        <w:footnoteReference w:id="57"/>
      </w:r>
    </w:p>
    <w:p w:rsidR="00030AD3" w:rsidRDefault="00030AD3" w:rsidP="004E672F">
      <w:pPr>
        <w:pStyle w:val="Listenabsatz"/>
        <w:numPr>
          <w:ilvl w:val="1"/>
          <w:numId w:val="2"/>
        </w:numPr>
      </w:pPr>
      <w:r>
        <w:t>D</w:t>
      </w:r>
      <w:r w:rsidRPr="00856E95">
        <w:t xml:space="preserve">ie </w:t>
      </w:r>
      <w:r w:rsidRPr="00D7058A">
        <w:rPr>
          <w:i/>
        </w:rPr>
        <w:t>weiblichen Familienmitgliede</w:t>
      </w:r>
      <w:r w:rsidR="00D7058A">
        <w:rPr>
          <w:i/>
        </w:rPr>
        <w:t>r</w:t>
      </w:r>
      <w:r>
        <w:t xml:space="preserve"> verbl</w:t>
      </w:r>
      <w:r w:rsidRPr="00856E95">
        <w:t>i</w:t>
      </w:r>
      <w:r>
        <w:t>e</w:t>
      </w:r>
      <w:r w:rsidRPr="00856E95">
        <w:t xml:space="preserve">ben </w:t>
      </w:r>
      <w:r w:rsidR="00F16A56">
        <w:t>in Griechen</w:t>
      </w:r>
      <w:r w:rsidR="00F16A56">
        <w:softHyphen/>
        <w:t>land</w:t>
      </w:r>
      <w:r>
        <w:t xml:space="preserve"> </w:t>
      </w:r>
      <w:r w:rsidRPr="00856E95">
        <w:t>zeit</w:t>
      </w:r>
      <w:r w:rsidR="00D7058A">
        <w:softHyphen/>
      </w:r>
      <w:r w:rsidRPr="00856E95">
        <w:t xml:space="preserve">lebens </w:t>
      </w:r>
      <w:r>
        <w:t xml:space="preserve">unter </w:t>
      </w:r>
      <w:r w:rsidRPr="00D7058A">
        <w:rPr>
          <w:i/>
        </w:rPr>
        <w:t>Geschlechtstutel</w:t>
      </w:r>
      <w:r>
        <w:t>:</w:t>
      </w:r>
      <w:r w:rsidRPr="00856E95">
        <w:t xml:space="preserve"> sei es des Vaters</w:t>
      </w:r>
      <w:r>
        <w:t xml:space="preserve">, </w:t>
      </w:r>
      <w:r w:rsidR="00F16A56" w:rsidRPr="00856E95">
        <w:t>Gatten</w:t>
      </w:r>
      <w:r w:rsidR="00F16A56">
        <w:t>,</w:t>
      </w:r>
      <w:r w:rsidR="00F16A56" w:rsidRPr="00856E95">
        <w:t xml:space="preserve"> </w:t>
      </w:r>
      <w:r>
        <w:t>Bruders</w:t>
      </w:r>
      <w:r w:rsidRPr="00856E95">
        <w:t xml:space="preserve"> oder Sohnes.</w:t>
      </w:r>
      <w:r w:rsidR="00D7058A">
        <w:rPr>
          <w:rStyle w:val="Funotenzeichen"/>
        </w:rPr>
        <w:footnoteReference w:id="58"/>
      </w:r>
      <w:r>
        <w:t xml:space="preserve"> Das betraf </w:t>
      </w:r>
      <w:r w:rsidR="00D7058A">
        <w:t xml:space="preserve">auch </w:t>
      </w:r>
      <w:r>
        <w:t xml:space="preserve">den </w:t>
      </w:r>
      <w:r w:rsidRPr="00D7058A">
        <w:rPr>
          <w:i/>
        </w:rPr>
        <w:t>rechtsgeschäftlichen Bereich</w:t>
      </w:r>
      <w:r>
        <w:t>, für den Frauen die Mit</w:t>
      </w:r>
      <w:r w:rsidR="00D7058A">
        <w:softHyphen/>
      </w:r>
      <w:r>
        <w:t xml:space="preserve">wirkung ihres </w:t>
      </w:r>
      <w:r w:rsidRPr="00D7058A">
        <w:rPr>
          <w:i/>
        </w:rPr>
        <w:t>Kyrios</w:t>
      </w:r>
      <w:r>
        <w:t xml:space="preserve">, in Rom des </w:t>
      </w:r>
      <w:r w:rsidRPr="00D7058A">
        <w:rPr>
          <w:i/>
        </w:rPr>
        <w:t>pater familias</w:t>
      </w:r>
      <w:r>
        <w:t xml:space="preserve"> bedurf</w:t>
      </w:r>
      <w:r>
        <w:softHyphen/>
        <w:t>ten. – Die öffentlich</w:t>
      </w:r>
      <w:r w:rsidR="00D7058A">
        <w:softHyphen/>
      </w:r>
      <w:r>
        <w:t>rechtlich-</w:t>
      </w:r>
      <w:r>
        <w:lastRenderedPageBreak/>
        <w:t>politische Seite fehlte Frauen überhaupt!</w:t>
      </w:r>
      <w:r w:rsidR="00F16A56">
        <w:rPr>
          <w:rStyle w:val="Funotenzeichen"/>
        </w:rPr>
        <w:footnoteReference w:id="59"/>
      </w:r>
      <w:r w:rsidRPr="00856E95">
        <w:t xml:space="preserve"> </w:t>
      </w:r>
      <w:r>
        <w:t>– Die schwache</w:t>
      </w:r>
      <w:r w:rsidRPr="00856E95">
        <w:t xml:space="preserve"> Rechts</w:t>
      </w:r>
      <w:r w:rsidR="00D7058A">
        <w:softHyphen/>
      </w:r>
      <w:r w:rsidRPr="00856E95">
        <w:t xml:space="preserve">stellung der Frau </w:t>
      </w:r>
      <w:r>
        <w:t>zeigte sich auch daran</w:t>
      </w:r>
      <w:r w:rsidRPr="00856E95">
        <w:t xml:space="preserve">, dass </w:t>
      </w:r>
      <w:r>
        <w:t xml:space="preserve">Töchtern bei ihrer Heirat </w:t>
      </w:r>
      <w:r w:rsidR="00D7058A">
        <w:t xml:space="preserve">zwar </w:t>
      </w:r>
      <w:r>
        <w:t>ein</w:t>
      </w:r>
      <w:r w:rsidR="00F16A56">
        <w:t>e</w:t>
      </w:r>
      <w:r>
        <w:t xml:space="preserve"> </w:t>
      </w:r>
      <w:r w:rsidR="00F16A56">
        <w:t>Mitgift, nicht aber im Erbgang ein eigener Erbrechtsanspruch</w:t>
      </w:r>
      <w:r>
        <w:t xml:space="preserve"> zustand, nicht aber </w:t>
      </w:r>
      <w:r w:rsidRPr="00856E95">
        <w:t xml:space="preserve">ein eigener </w:t>
      </w:r>
      <w:r w:rsidRPr="00D7058A">
        <w:rPr>
          <w:i/>
        </w:rPr>
        <w:t>Erb</w:t>
      </w:r>
      <w:r w:rsidR="00D7058A" w:rsidRPr="00D7058A">
        <w:rPr>
          <w:i/>
        </w:rPr>
        <w:t>(</w:t>
      </w:r>
      <w:r w:rsidRPr="00D7058A">
        <w:rPr>
          <w:i/>
        </w:rPr>
        <w:softHyphen/>
        <w:t>rechts</w:t>
      </w:r>
      <w:r w:rsidR="00D7058A" w:rsidRPr="00D7058A">
        <w:rPr>
          <w:i/>
        </w:rPr>
        <w:t>)</w:t>
      </w:r>
      <w:r w:rsidRPr="00D7058A">
        <w:rPr>
          <w:i/>
        </w:rPr>
        <w:t>anspruch</w:t>
      </w:r>
      <w:r w:rsidR="00D7058A">
        <w:t xml:space="preserve">, </w:t>
      </w:r>
      <w:r w:rsidRPr="00856E95">
        <w:t xml:space="preserve">und </w:t>
      </w:r>
      <w:r w:rsidR="00D7058A">
        <w:t xml:space="preserve">die Mitgift </w:t>
      </w:r>
      <w:r w:rsidRPr="00856E95">
        <w:t xml:space="preserve">bestenfalls (wie in Gortyn) die Hälfte </w:t>
      </w:r>
      <w:r>
        <w:t>des Erbteils eines Sohnes</w:t>
      </w:r>
      <w:r w:rsidRPr="00856E95">
        <w:t xml:space="preserve"> betrug. </w:t>
      </w:r>
      <w:r>
        <w:t xml:space="preserve">– </w:t>
      </w:r>
      <w:r w:rsidRPr="00856E95">
        <w:t>Selbst wenn die Tochter mangels männlicher Nachkom</w:t>
      </w:r>
      <w:r>
        <w:softHyphen/>
      </w:r>
      <w:r w:rsidRPr="00856E95">
        <w:t>men</w:t>
      </w:r>
      <w:r w:rsidR="00D7058A">
        <w:t xml:space="preserve"> des Hausvaters</w:t>
      </w:r>
      <w:r w:rsidRPr="00856E95">
        <w:t xml:space="preserve"> zur sogenannten </w:t>
      </w:r>
      <w:r w:rsidR="00D7058A">
        <w:rPr>
          <w:i/>
        </w:rPr>
        <w:t>Epí</w:t>
      </w:r>
      <w:r w:rsidRPr="00D7058A">
        <w:rPr>
          <w:i/>
        </w:rPr>
        <w:t>kleros/Erbtochter</w:t>
      </w:r>
      <w:r w:rsidRPr="00856E95">
        <w:t xml:space="preserve"> </w:t>
      </w:r>
      <w:r>
        <w:t>wurde</w:t>
      </w:r>
      <w:r w:rsidRPr="00856E95">
        <w:t xml:space="preserve">, </w:t>
      </w:r>
      <w:r>
        <w:t>war</w:t>
      </w:r>
      <w:r w:rsidRPr="00856E95">
        <w:t xml:space="preserve"> sie nicht </w:t>
      </w:r>
      <w:r>
        <w:t xml:space="preserve">selbst </w:t>
      </w:r>
      <w:r w:rsidRPr="00856E95">
        <w:t xml:space="preserve">Erbin des väterlichen Vermögens, sondern nur Vermittlerin </w:t>
      </w:r>
      <w:r>
        <w:t>oder</w:t>
      </w:r>
      <w:r w:rsidRPr="00856E95">
        <w:t xml:space="preserve"> Platz</w:t>
      </w:r>
      <w:r>
        <w:softHyphen/>
      </w:r>
      <w:r w:rsidRPr="00856E95">
        <w:t>hal</w:t>
      </w:r>
      <w:r>
        <w:softHyphen/>
      </w:r>
      <w:r w:rsidRPr="00856E95">
        <w:t>terin für die von ihr mit dem nächsten männlichen Verwandten gezeugten Söhne.</w:t>
      </w:r>
      <w:r>
        <w:rPr>
          <w:rStyle w:val="Funotenzeichen"/>
        </w:rPr>
        <w:footnoteReference w:id="60"/>
      </w:r>
      <w:r>
        <w:t xml:space="preserve">  </w:t>
      </w:r>
    </w:p>
    <w:p w:rsidR="00030AD3" w:rsidRDefault="00030AD3" w:rsidP="004E672F">
      <w:pPr>
        <w:pStyle w:val="Listenabsatz"/>
        <w:numPr>
          <w:ilvl w:val="1"/>
          <w:numId w:val="2"/>
        </w:numPr>
      </w:pPr>
      <w:r w:rsidRPr="00856E95">
        <w:t xml:space="preserve">Der gemeinsame Grundgedanke dieser und anderer Regelungen </w:t>
      </w:r>
      <w:r w:rsidR="00F16A56">
        <w:t xml:space="preserve">– vor allem </w:t>
      </w:r>
      <w:r>
        <w:t xml:space="preserve">auch der </w:t>
      </w:r>
      <w:r w:rsidRPr="00856E95">
        <w:t xml:space="preserve"> Adop</w:t>
      </w:r>
      <w:r>
        <w:softHyphen/>
      </w:r>
      <w:r w:rsidRPr="00856E95">
        <w:t>tion</w:t>
      </w:r>
      <w:r w:rsidR="00F16A56">
        <w:t xml:space="preserve"> –</w:t>
      </w:r>
      <w:r>
        <w:t xml:space="preserve"> war es, </w:t>
      </w:r>
      <w:r w:rsidRPr="00856E95">
        <w:t xml:space="preserve">das </w:t>
      </w:r>
      <w:r w:rsidRPr="007629A5">
        <w:rPr>
          <w:i/>
        </w:rPr>
        <w:t>Haus</w:t>
      </w:r>
      <w:r w:rsidRPr="00856E95">
        <w:t xml:space="preserve"> und seine </w:t>
      </w:r>
      <w:r w:rsidR="00F16A56">
        <w:t xml:space="preserve">Nomizómena/lat. </w:t>
      </w:r>
      <w:r w:rsidRPr="007629A5">
        <w:rPr>
          <w:i/>
        </w:rPr>
        <w:t>Sacra</w:t>
      </w:r>
      <w:r w:rsidRPr="00856E95">
        <w:t xml:space="preserve"> vor dem Au</w:t>
      </w:r>
      <w:r>
        <w:t>ssterben zu bewahren, also</w:t>
      </w:r>
      <w:r w:rsidRPr="00856E95">
        <w:t xml:space="preserve"> den </w:t>
      </w:r>
      <w:r w:rsidRPr="007629A5">
        <w:rPr>
          <w:i/>
        </w:rPr>
        <w:t>Ahnen</w:t>
      </w:r>
      <w:r w:rsidR="007629A5" w:rsidRPr="007629A5">
        <w:rPr>
          <w:i/>
        </w:rPr>
        <w:t xml:space="preserve">- </w:t>
      </w:r>
      <w:r w:rsidR="007629A5" w:rsidRPr="007629A5">
        <w:t>und</w:t>
      </w:r>
      <w:r w:rsidR="007629A5" w:rsidRPr="007629A5">
        <w:rPr>
          <w:i/>
        </w:rPr>
        <w:t xml:space="preserve"> Toten</w:t>
      </w:r>
      <w:r w:rsidRPr="007629A5">
        <w:rPr>
          <w:i/>
        </w:rPr>
        <w:t>kult</w:t>
      </w:r>
      <w:r w:rsidRPr="00856E95">
        <w:t xml:space="preserve"> zu gewährleisten.</w:t>
      </w:r>
      <w:r>
        <w:rPr>
          <w:rStyle w:val="Funotenzeichen"/>
        </w:rPr>
        <w:footnoteReference w:id="61"/>
      </w:r>
      <w:r>
        <w:t xml:space="preserve"> </w:t>
      </w:r>
      <w:r w:rsidR="007629A5">
        <w:t xml:space="preserve">– </w:t>
      </w:r>
      <w:r>
        <w:t xml:space="preserve">Insofern beeinflußte die </w:t>
      </w:r>
      <w:r w:rsidR="007629A5" w:rsidRPr="007629A5">
        <w:rPr>
          <w:i/>
        </w:rPr>
        <w:t>Religion</w:t>
      </w:r>
      <w:r>
        <w:t xml:space="preserve"> die Genese des Individuums.</w:t>
      </w:r>
      <w:r>
        <w:rPr>
          <w:rStyle w:val="Funotenzeichen"/>
        </w:rPr>
        <w:footnoteReference w:id="62"/>
      </w:r>
      <w:r>
        <w:t xml:space="preserve"> </w:t>
      </w:r>
    </w:p>
    <w:p w:rsidR="00F16A56" w:rsidRDefault="00030AD3" w:rsidP="004E672F">
      <w:pPr>
        <w:pStyle w:val="Listenabsatz"/>
        <w:numPr>
          <w:ilvl w:val="1"/>
          <w:numId w:val="2"/>
        </w:numPr>
      </w:pPr>
      <w:r>
        <w:t xml:space="preserve">Nur andeuten will ich hier, dass sich das </w:t>
      </w:r>
      <w:r w:rsidRPr="007629A5">
        <w:rPr>
          <w:i/>
        </w:rPr>
        <w:t>junge Christentum</w:t>
      </w:r>
      <w:r>
        <w:t xml:space="preserve"> – auch was seine Vorstellungen von </w:t>
      </w:r>
      <w:r w:rsidRPr="007629A5">
        <w:rPr>
          <w:i/>
        </w:rPr>
        <w:t>Individualität</w:t>
      </w:r>
      <w:r>
        <w:t xml:space="preserve"> und</w:t>
      </w:r>
      <w:r w:rsidR="007629A5">
        <w:t xml:space="preserve"> der </w:t>
      </w:r>
      <w:r w:rsidRPr="007629A5">
        <w:rPr>
          <w:i/>
        </w:rPr>
        <w:t>Person</w:t>
      </w:r>
      <w:r>
        <w:t xml:space="preserve"> betraf </w:t>
      </w:r>
      <w:r w:rsidR="007629A5">
        <w:t xml:space="preserve">– </w:t>
      </w:r>
      <w:r>
        <w:t xml:space="preserve">am </w:t>
      </w:r>
      <w:r w:rsidRPr="007629A5">
        <w:rPr>
          <w:i/>
        </w:rPr>
        <w:t>griechi</w:t>
      </w:r>
      <w:r w:rsidR="007629A5">
        <w:rPr>
          <w:i/>
        </w:rPr>
        <w:softHyphen/>
      </w:r>
      <w:r w:rsidRPr="007629A5">
        <w:rPr>
          <w:i/>
        </w:rPr>
        <w:t>schen Vorbild</w:t>
      </w:r>
      <w:r>
        <w:t xml:space="preserve"> orientierte, wobei zu beachten </w:t>
      </w:r>
      <w:r w:rsidR="007629A5">
        <w:t xml:space="preserve">ist, dass </w:t>
      </w:r>
      <w:r>
        <w:t xml:space="preserve">Vorbildwirkung nicht sklavische Nachahmung bedeutet! – Werner </w:t>
      </w:r>
      <w:r w:rsidRPr="007629A5">
        <w:t>Jaeger</w:t>
      </w:r>
      <w:r>
        <w:t xml:space="preserve"> </w:t>
      </w:r>
      <w:r w:rsidR="007629A5">
        <w:t>drückte</w:t>
      </w:r>
      <w:r>
        <w:t xml:space="preserve"> dies in seinem Buch</w:t>
      </w:r>
      <w:r w:rsidR="007629A5">
        <w:t xml:space="preserve"> </w:t>
      </w:r>
      <w:r w:rsidRPr="007629A5">
        <w:t>,Das frühe Christen</w:t>
      </w:r>
      <w:r w:rsidRPr="007629A5">
        <w:softHyphen/>
        <w:t>tum und die griechische Bildung‘</w:t>
      </w:r>
      <w:r>
        <w:t xml:space="preserve"> </w:t>
      </w:r>
      <w:r w:rsidR="007629A5">
        <w:t>folgendermaßen aus:</w:t>
      </w:r>
      <w:bookmarkStart w:id="3" w:name="_Ref441512974"/>
      <w:r w:rsidR="007629A5">
        <w:rPr>
          <w:rStyle w:val="Funotenzeichen"/>
        </w:rPr>
        <w:footnoteReference w:id="63"/>
      </w:r>
      <w:bookmarkEnd w:id="3"/>
      <w:r w:rsidR="007629A5">
        <w:t xml:space="preserve"> </w:t>
      </w:r>
    </w:p>
    <w:p w:rsidR="00030AD3" w:rsidRDefault="00030AD3" w:rsidP="00F16A56">
      <w:pPr>
        <w:pStyle w:val="Listenabsatz"/>
        <w:ind w:left="1440"/>
      </w:pPr>
      <w:r>
        <w:t>„</w:t>
      </w:r>
      <w:r w:rsidRPr="00F16A56">
        <w:rPr>
          <w:sz w:val="20"/>
          <w:szCs w:val="20"/>
        </w:rPr>
        <w:t>Die Geschichte macht keine Fortschritte, indem sie mit einer Definition des aus der Vergangenheit Übernommenen beginnt, sondern indem sie davon Besitz ergreift und es für ihre neuen Ziele abwandelt.</w:t>
      </w:r>
      <w:r>
        <w:t xml:space="preserve">“  </w:t>
      </w:r>
      <w:r>
        <w:br/>
      </w:r>
      <w:r w:rsidR="007629A5">
        <w:t>Dieser</w:t>
      </w:r>
      <w:r>
        <w:t xml:space="preserve"> </w:t>
      </w:r>
      <w:r w:rsidRPr="007629A5">
        <w:rPr>
          <w:i/>
        </w:rPr>
        <w:t>Prozeß der Anverwandlung</w:t>
      </w:r>
      <w:r>
        <w:t xml:space="preserve"> – vornehmlich griechisch-klassischer und hellenistischer Einsichten – </w:t>
      </w:r>
      <w:r w:rsidRPr="00EA3E9A">
        <w:rPr>
          <w:i/>
        </w:rPr>
        <w:t xml:space="preserve">in </w:t>
      </w:r>
      <w:r w:rsidR="007629A5" w:rsidRPr="00EA3E9A">
        <w:rPr>
          <w:i/>
        </w:rPr>
        <w:t xml:space="preserve">christliches </w:t>
      </w:r>
      <w:r w:rsidRPr="00EA3E9A">
        <w:rPr>
          <w:i/>
        </w:rPr>
        <w:t>Gedankengut</w:t>
      </w:r>
      <w:r>
        <w:t xml:space="preserve"> wird von W. Jaeger anschaulich dargestellt. </w:t>
      </w:r>
    </w:p>
    <w:p w:rsidR="00030AD3" w:rsidRDefault="007629A5" w:rsidP="004E672F">
      <w:pPr>
        <w:pStyle w:val="Listenabsatz"/>
        <w:numPr>
          <w:ilvl w:val="1"/>
          <w:numId w:val="2"/>
        </w:numPr>
      </w:pPr>
      <w:r>
        <w:t>Der</w:t>
      </w:r>
      <w:r w:rsidR="00030AD3">
        <w:t xml:space="preserve"> für junge Kulturen wichtige </w:t>
      </w:r>
      <w:r w:rsidR="00030AD3" w:rsidRPr="007629A5">
        <w:rPr>
          <w:i/>
        </w:rPr>
        <w:t>Rezeptions</w:t>
      </w:r>
      <w:r w:rsidR="00030AD3" w:rsidRPr="007629A5">
        <w:rPr>
          <w:i/>
        </w:rPr>
        <w:softHyphen/>
        <w:t>vorgang</w:t>
      </w:r>
      <w:r w:rsidR="00EA3E9A">
        <w:t xml:space="preserve"> </w:t>
      </w:r>
      <w:r w:rsidR="00030AD3">
        <w:t>aus älteren</w:t>
      </w:r>
      <w:r w:rsidR="00EA3E9A">
        <w:t>, reiferen Kulturen war</w:t>
      </w:r>
      <w:r w:rsidR="00030AD3">
        <w:t xml:space="preserve"> auch für den </w:t>
      </w:r>
      <w:r w:rsidR="00030AD3" w:rsidRPr="007629A5">
        <w:rPr>
          <w:i/>
        </w:rPr>
        <w:t>jungen Islam</w:t>
      </w:r>
      <w:r w:rsidR="00EA3E9A">
        <w:t xml:space="preserve"> von Bedeutung.</w:t>
      </w:r>
      <w:r w:rsidR="00030AD3">
        <w:t xml:space="preserve"> </w:t>
      </w:r>
      <w:r w:rsidR="00EA3E9A">
        <w:t>Als Ideen</w:t>
      </w:r>
      <w:r w:rsidR="00EA3E9A">
        <w:softHyphen/>
        <w:t xml:space="preserve">lieferanten dienten ihm nicht nur </w:t>
      </w:r>
      <w:r w:rsidR="00030AD3">
        <w:t>das mittlerweile</w:t>
      </w:r>
      <w:r w:rsidR="00EA3E9A">
        <w:t xml:space="preserve"> politisch</w:t>
      </w:r>
      <w:r w:rsidR="00030AD3">
        <w:t xml:space="preserve"> erstarkte und mit Selbstvertrauen aufgeladene </w:t>
      </w:r>
      <w:r w:rsidR="00030AD3" w:rsidRPr="007629A5">
        <w:t>Christentum</w:t>
      </w:r>
      <w:r w:rsidR="00EA3E9A">
        <w:t>,</w:t>
      </w:r>
      <w:r w:rsidR="00EA3E9A">
        <w:rPr>
          <w:rStyle w:val="Funotenzeichen"/>
        </w:rPr>
        <w:footnoteReference w:id="64"/>
      </w:r>
      <w:r w:rsidR="00EA3E9A">
        <w:t xml:space="preserve">  sondern auch </w:t>
      </w:r>
      <w:r w:rsidR="00030AD3">
        <w:t xml:space="preserve">die </w:t>
      </w:r>
      <w:r w:rsidR="00030AD3" w:rsidRPr="007629A5">
        <w:t xml:space="preserve">jüdische </w:t>
      </w:r>
      <w:r w:rsidR="00EA3E9A">
        <w:t xml:space="preserve">und persische </w:t>
      </w:r>
      <w:r w:rsidR="00030AD3" w:rsidRPr="007629A5">
        <w:t>Religion</w:t>
      </w:r>
      <w:r w:rsidR="00030AD3">
        <w:t xml:space="preserve"> und mit diesen </w:t>
      </w:r>
      <w:r w:rsidR="00030AD3" w:rsidRPr="007629A5">
        <w:t>griechisch-byzantinische Einflüsse</w:t>
      </w:r>
      <w:r w:rsidR="00030AD3">
        <w:t>.</w:t>
      </w:r>
      <w:r w:rsidR="00030AD3">
        <w:rPr>
          <w:rStyle w:val="Funotenzeichen"/>
        </w:rPr>
        <w:footnoteReference w:id="65"/>
      </w:r>
      <w:r w:rsidR="00030AD3">
        <w:t xml:space="preserve"> </w:t>
      </w:r>
      <w:r w:rsidR="00EA3E9A">
        <w:t>Ignaz Goldziher attestiert dem Islam eine besondere Fähigkeit fremdes Gedankengut zu integrieren:</w:t>
      </w:r>
      <w:r w:rsidR="00EA3E9A">
        <w:rPr>
          <w:rStyle w:val="Funotenzeichen"/>
        </w:rPr>
        <w:footnoteReference w:id="66"/>
      </w:r>
    </w:p>
    <w:p w:rsidR="00EA3E9A" w:rsidRPr="00EA3E9A" w:rsidRDefault="00EA3E9A" w:rsidP="00EA3E9A">
      <w:pPr>
        <w:pStyle w:val="Listenabsatz"/>
        <w:ind w:left="1440"/>
        <w:rPr>
          <w:sz w:val="20"/>
          <w:szCs w:val="20"/>
        </w:rPr>
      </w:pPr>
      <w:r w:rsidRPr="00EA3E9A">
        <w:rPr>
          <w:sz w:val="20"/>
          <w:szCs w:val="20"/>
        </w:rPr>
        <w:lastRenderedPageBreak/>
        <w:t>„</w:t>
      </w:r>
      <w:r>
        <w:rPr>
          <w:sz w:val="20"/>
          <w:szCs w:val="20"/>
        </w:rPr>
        <w:t xml:space="preserve"> Seine [sc. des Islam] dogmatische Entwicklung geschieht im Zeichen hellenistischer Gedanken, seine gesetzliche Ausgestaltung lässt den Einfluß des römischen Rechtes nicht verkennen, seine staatliche Gliederung, wie sie im </w:t>
      </w:r>
      <w:r>
        <w:rPr>
          <w:sz w:val="20"/>
          <w:szCs w:val="20"/>
        </w:rPr>
        <w:sym w:font="Greek Old Face C" w:char="F060"/>
      </w:r>
      <w:r>
        <w:rPr>
          <w:sz w:val="20"/>
          <w:szCs w:val="20"/>
        </w:rPr>
        <w:t>abbasidischen Chalifat ausformt, zeigt die Verarbeitung persischer Staatsgedanken, sein Mystizismus die Aneignung neupaltonischer und indischer Gedankengänge. Aber auf jedem dieser Gebiete erweist der Islam seine Fähigkeit zu organischer Einverleibung und Verarbeitung der fremden Bestandteile, so daß ihr fremder Zug sich nur der scharfen Zerlegung prüfender Forschung offenbart.“</w:t>
      </w:r>
    </w:p>
    <w:p w:rsidR="00030AD3" w:rsidRDefault="00030AD3" w:rsidP="00621DF0">
      <w:pPr>
        <w:pStyle w:val="Listenabsatz"/>
        <w:ind w:left="360"/>
      </w:pPr>
    </w:p>
    <w:p w:rsidR="00030AD3" w:rsidRDefault="00030AD3" w:rsidP="0047463C">
      <w:pPr>
        <w:numPr>
          <w:ilvl w:val="0"/>
          <w:numId w:val="16"/>
        </w:numPr>
        <w:spacing w:after="240" w:line="120" w:lineRule="atLeast"/>
      </w:pPr>
      <w:r>
        <w:t xml:space="preserve">Anders als die griechische und römische, hätte die </w:t>
      </w:r>
      <w:r w:rsidRPr="00A56422">
        <w:rPr>
          <w:i/>
        </w:rPr>
        <w:t>ägyptische Entwicklung</w:t>
      </w:r>
      <w:r>
        <w:t xml:space="preserve"> in mancher Hinsicht </w:t>
      </w:r>
      <w:r w:rsidR="00792203">
        <w:t>– e</w:t>
      </w:r>
      <w:r>
        <w:t xml:space="preserve">twa was die </w:t>
      </w:r>
      <w:r w:rsidRPr="001C57E0">
        <w:rPr>
          <w:i/>
        </w:rPr>
        <w:t>Rechtsstellung der Frau</w:t>
      </w:r>
      <w:r w:rsidR="00792203">
        <w:t xml:space="preserve"> betraf –</w:t>
      </w:r>
      <w:r>
        <w:t xml:space="preserve"> als </w:t>
      </w:r>
      <w:r w:rsidRPr="00792203">
        <w:t>Vorbild der</w:t>
      </w:r>
      <w:r w:rsidRPr="001C57E0">
        <w:rPr>
          <w:i/>
        </w:rPr>
        <w:t xml:space="preserve"> </w:t>
      </w:r>
      <w:r w:rsidR="00792203">
        <w:rPr>
          <w:i/>
        </w:rPr>
        <w:t>-</w:t>
      </w:r>
      <w:r w:rsidRPr="00792203">
        <w:t>Individualisie</w:t>
      </w:r>
      <w:r w:rsidRPr="00792203">
        <w:softHyphen/>
        <w:t>rung</w:t>
      </w:r>
      <w:r w:rsidRPr="001C57E0">
        <w:rPr>
          <w:i/>
        </w:rPr>
        <w:t xml:space="preserve"> </w:t>
      </w:r>
      <w:r>
        <w:t xml:space="preserve">dienen können. Die </w:t>
      </w:r>
      <w:r w:rsidR="00792203">
        <w:t>religiöse Stellung der Frau im Islam hat</w:t>
      </w:r>
      <w:r>
        <w:t xml:space="preserve"> das </w:t>
      </w:r>
      <w:r w:rsidR="001C57E0">
        <w:t xml:space="preserve">jedoch </w:t>
      </w:r>
      <w:r>
        <w:t>ver</w:t>
      </w:r>
      <w:r w:rsidR="001C57E0">
        <w:softHyphen/>
      </w:r>
      <w:r>
        <w:t>hindert.</w:t>
      </w:r>
      <w:r>
        <w:rPr>
          <w:rStyle w:val="Funotenzeichen"/>
        </w:rPr>
        <w:footnoteReference w:id="67"/>
      </w:r>
      <w:r>
        <w:t xml:space="preserve"> Auch in Ägypten fehlte </w:t>
      </w:r>
      <w:r w:rsidR="00792203">
        <w:t xml:space="preserve">noch </w:t>
      </w:r>
      <w:r>
        <w:t xml:space="preserve">die öffentlich-rechtliche </w:t>
      </w:r>
      <w:r w:rsidR="001C57E0">
        <w:t xml:space="preserve">Seite der </w:t>
      </w:r>
      <w:r>
        <w:t>Individualisie</w:t>
      </w:r>
      <w:r w:rsidR="001C57E0">
        <w:softHyphen/>
      </w:r>
      <w:r>
        <w:t xml:space="preserve">rung </w:t>
      </w:r>
      <w:r w:rsidR="001C57E0">
        <w:t>(</w:t>
      </w:r>
      <w:r w:rsidR="00792203">
        <w:t>im Sinne einer politischen</w:t>
      </w:r>
      <w:r>
        <w:t xml:space="preserve"> Mitwirkungsmöglichkeit</w:t>
      </w:r>
      <w:r w:rsidR="00792203">
        <w:t xml:space="preserve"> einzelner Bürgerinnen </w:t>
      </w:r>
      <w:r>
        <w:t>am Staatsgeschehen</w:t>
      </w:r>
      <w:r w:rsidR="001C57E0">
        <w:t>)</w:t>
      </w:r>
      <w:r>
        <w:t>! – Ägypten hatte jedoch</w:t>
      </w:r>
      <w:r w:rsidR="00792203">
        <w:t xml:space="preserve"> interessante </w:t>
      </w:r>
      <w:r>
        <w:t>früh</w:t>
      </w:r>
      <w:r w:rsidR="00792203">
        <w:t>e</w:t>
      </w:r>
      <w:r>
        <w:t xml:space="preserve"> </w:t>
      </w:r>
      <w:r w:rsidRPr="00A56422">
        <w:rPr>
          <w:i/>
        </w:rPr>
        <w:t>Entwicklungsschritte</w:t>
      </w:r>
      <w:r w:rsidR="001C57E0">
        <w:rPr>
          <w:i/>
        </w:rPr>
        <w:t xml:space="preserve"> </w:t>
      </w:r>
      <w:r>
        <w:t>der Indi</w:t>
      </w:r>
      <w:r>
        <w:softHyphen/>
        <w:t xml:space="preserve">vidualisierung aufzuweisen:   </w:t>
      </w:r>
    </w:p>
    <w:p w:rsidR="00030AD3" w:rsidRDefault="00030AD3" w:rsidP="007A528D">
      <w:pPr>
        <w:pStyle w:val="Listenabsatz"/>
        <w:numPr>
          <w:ilvl w:val="1"/>
          <w:numId w:val="2"/>
        </w:numPr>
      </w:pPr>
      <w:r>
        <w:t xml:space="preserve">Bereits am Ende des 3. </w:t>
      </w:r>
      <w:r w:rsidR="00792203">
        <w:t>Jahrtausends</w:t>
      </w:r>
      <w:r>
        <w:t xml:space="preserve"> v. </w:t>
      </w:r>
      <w:r w:rsidR="00792203">
        <w:t xml:space="preserve">– </w:t>
      </w:r>
      <w:r>
        <w:t xml:space="preserve">in der </w:t>
      </w:r>
      <w:r w:rsidR="00792203">
        <w:t>sogenannten Ersten Zwischenzeit –</w:t>
      </w:r>
      <w:r>
        <w:t xml:space="preserve"> gelang die </w:t>
      </w:r>
      <w:r w:rsidR="001C57E0">
        <w:t xml:space="preserve">auch </w:t>
      </w:r>
      <w:r w:rsidR="00792203">
        <w:t xml:space="preserve">für die Rechtsentwicklung </w:t>
      </w:r>
      <w:r>
        <w:t>bedeutende Entdeckung des indivi</w:t>
      </w:r>
      <w:r w:rsidR="001C57E0">
        <w:softHyphen/>
      </w:r>
      <w:r>
        <w:t xml:space="preserve">duellen </w:t>
      </w:r>
      <w:r w:rsidRPr="001C57E0">
        <w:rPr>
          <w:i/>
        </w:rPr>
        <w:t>Gewissens</w:t>
      </w:r>
      <w:r>
        <w:t>, die eine persönliche Zurechnung von Handlungen und Unter</w:t>
      </w:r>
      <w:r>
        <w:softHyphen/>
        <w:t xml:space="preserve">lassungen im </w:t>
      </w:r>
      <w:r w:rsidRPr="001C57E0">
        <w:rPr>
          <w:i/>
        </w:rPr>
        <w:t>Totengericht</w:t>
      </w:r>
      <w:r>
        <w:t xml:space="preserve"> ermöglichte.</w:t>
      </w:r>
      <w:r w:rsidRPr="002739E5">
        <w:rPr>
          <w:rStyle w:val="Funotenzeichen"/>
        </w:rPr>
        <w:footnoteReference w:id="68"/>
      </w:r>
    </w:p>
    <w:p w:rsidR="00030AD3" w:rsidRDefault="00030AD3" w:rsidP="007A528D">
      <w:pPr>
        <w:pStyle w:val="Listenabsatz"/>
        <w:numPr>
          <w:ilvl w:val="1"/>
          <w:numId w:val="2"/>
        </w:numPr>
      </w:pPr>
      <w:r>
        <w:t xml:space="preserve">Und ebenfalls in der Ersten Zwischenzeit kam es zur sogenannten </w:t>
      </w:r>
      <w:r w:rsidRPr="001C57E0">
        <w:rPr>
          <w:i/>
        </w:rPr>
        <w:t>Demoti</w:t>
      </w:r>
      <w:r w:rsidRPr="001C57E0">
        <w:rPr>
          <w:i/>
        </w:rPr>
        <w:softHyphen/>
        <w:t>sie</w:t>
      </w:r>
      <w:r w:rsidRPr="001C57E0">
        <w:rPr>
          <w:i/>
        </w:rPr>
        <w:softHyphen/>
        <w:t>rung der Seelenvorstellung</w:t>
      </w:r>
      <w:r w:rsidR="004B5180">
        <w:rPr>
          <w:i/>
        </w:rPr>
        <w:t xml:space="preserve"> (J. Assmann)</w:t>
      </w:r>
      <w:r w:rsidRPr="002739E5">
        <w:t xml:space="preserve">, </w:t>
      </w:r>
      <w:r>
        <w:t xml:space="preserve">die einen Individualisierungsschub des </w:t>
      </w:r>
      <w:r w:rsidRPr="001C57E0">
        <w:t>Persons</w:t>
      </w:r>
      <w:r w:rsidR="001C57E0">
        <w:softHyphen/>
      </w:r>
      <w:r w:rsidRPr="001C57E0">
        <w:t>verständnisses</w:t>
      </w:r>
      <w:r>
        <w:t xml:space="preserve"> </w:t>
      </w:r>
      <w:r w:rsidR="001C57E0">
        <w:t>zur Folge hatte</w:t>
      </w:r>
      <w:r>
        <w:t>!</w:t>
      </w:r>
      <w:r w:rsidR="001C57E0">
        <w:rPr>
          <w:rStyle w:val="Funotenzeichen"/>
        </w:rPr>
        <w:footnoteReference w:id="69"/>
      </w:r>
      <w:r>
        <w:t xml:space="preserve"> </w:t>
      </w:r>
      <w:r w:rsidR="0087466D">
        <w:t>– Danach hatte nunmehr nicht nur der König/Pharao, sondern alle Ägypterinnen und Ägypter eine Seele, die Voraussetzung für ein weiterleben nach dem Tode war.</w:t>
      </w:r>
    </w:p>
    <w:p w:rsidR="00030AD3" w:rsidRDefault="00030AD3" w:rsidP="00621DF0">
      <w:pPr>
        <w:pStyle w:val="Listenabsatz"/>
        <w:ind w:left="360"/>
      </w:pPr>
    </w:p>
    <w:p w:rsidR="00030AD3" w:rsidRDefault="0087466D" w:rsidP="0047463C">
      <w:pPr>
        <w:numPr>
          <w:ilvl w:val="0"/>
          <w:numId w:val="16"/>
        </w:numPr>
        <w:spacing w:after="240" w:line="120" w:lineRule="atLeast"/>
      </w:pPr>
      <w:r w:rsidRPr="0087466D">
        <w:rPr>
          <w:i/>
        </w:rPr>
        <w:t>Gebhard</w:t>
      </w:r>
      <w:r w:rsidR="00030AD3">
        <w:t xml:space="preserve"> </w:t>
      </w:r>
      <w:r w:rsidR="00030AD3" w:rsidRPr="001C57E0">
        <w:rPr>
          <w:i/>
        </w:rPr>
        <w:t>Selz</w:t>
      </w:r>
      <w:r w:rsidR="00030AD3">
        <w:t xml:space="preserve"> deutet in ‚Sumerer und Akkader’ (2010) an, dass auch in den von ihm unter</w:t>
      </w:r>
      <w:r w:rsidR="00030AD3">
        <w:softHyphen/>
        <w:t>suchten Kulturen</w:t>
      </w:r>
      <w:r>
        <w:t xml:space="preserve"> des Alten Orients bereits</w:t>
      </w:r>
      <w:r w:rsidR="00030AD3">
        <w:t xml:space="preserve"> die „</w:t>
      </w:r>
      <w:r w:rsidR="00030AD3" w:rsidRPr="001C57E0">
        <w:t>Bedeutung des Individuums</w:t>
      </w:r>
      <w:r w:rsidR="00030AD3">
        <w:t>“ erkannt worden ist.</w:t>
      </w:r>
      <w:r>
        <w:t xml:space="preserve"> – Da diesbezüglich kaum Forschungsergebnisse vorliegen wird er uns von seinen Überlegungen berichten.</w:t>
      </w:r>
    </w:p>
    <w:p w:rsidR="00030AD3" w:rsidRDefault="00030AD3"/>
    <w:p w:rsidR="00030AD3" w:rsidRDefault="00030AD3" w:rsidP="006B0BCD">
      <w:pPr>
        <w:numPr>
          <w:ilvl w:val="0"/>
          <w:numId w:val="14"/>
        </w:numPr>
        <w:rPr>
          <w:b/>
        </w:rPr>
      </w:pPr>
      <w:r>
        <w:rPr>
          <w:b/>
        </w:rPr>
        <w:t>Schluß</w:t>
      </w:r>
    </w:p>
    <w:p w:rsidR="00030AD3" w:rsidRPr="00BD1220" w:rsidRDefault="00030AD3" w:rsidP="006B0BCD">
      <w:pPr>
        <w:ind w:left="1080"/>
        <w:rPr>
          <w:b/>
        </w:rPr>
      </w:pPr>
    </w:p>
    <w:p w:rsidR="00030AD3" w:rsidRDefault="00030AD3" w:rsidP="00891ACF">
      <w:pPr>
        <w:spacing w:after="240" w:line="120" w:lineRule="atLeast"/>
        <w:ind w:left="360"/>
      </w:pPr>
      <w:r>
        <w:t xml:space="preserve">Unsere Tagung versteht sich auch als Beitrag zu </w:t>
      </w:r>
      <w:r w:rsidR="0087466D">
        <w:t xml:space="preserve">der </w:t>
      </w:r>
      <w:r>
        <w:t xml:space="preserve">vernachlässigten Einsicht, dass </w:t>
      </w:r>
      <w:r w:rsidRPr="00F10BBC">
        <w:rPr>
          <w:i/>
        </w:rPr>
        <w:t>Technik</w:t>
      </w:r>
      <w:r>
        <w:t xml:space="preserve"> und </w:t>
      </w:r>
      <w:r w:rsidRPr="00F10BBC">
        <w:rPr>
          <w:i/>
        </w:rPr>
        <w:t>Wirtschaft</w:t>
      </w:r>
      <w:r>
        <w:t xml:space="preserve"> der </w:t>
      </w:r>
      <w:r w:rsidR="0087466D">
        <w:rPr>
          <w:i/>
        </w:rPr>
        <w:t>menschlich-</w:t>
      </w:r>
      <w:r w:rsidRPr="00F10BBC">
        <w:rPr>
          <w:i/>
        </w:rPr>
        <w:t>kulturellen</w:t>
      </w:r>
      <w:r w:rsidR="00F10BBC">
        <w:rPr>
          <w:i/>
        </w:rPr>
        <w:t xml:space="preserve"> </w:t>
      </w:r>
      <w:r w:rsidRPr="00F10BBC">
        <w:rPr>
          <w:i/>
        </w:rPr>
        <w:t>Entwicklung</w:t>
      </w:r>
      <w:r w:rsidR="0087466D">
        <w:t xml:space="preserve"> immer schon vorausgeeilt sind</w:t>
      </w:r>
      <w:r>
        <w:t xml:space="preserve"> und dies </w:t>
      </w:r>
      <w:r w:rsidR="00D35D6D">
        <w:t xml:space="preserve">meist </w:t>
      </w:r>
      <w:r>
        <w:t>ohne Rücksicht auf die nach</w:t>
      </w:r>
      <w:r>
        <w:softHyphen/>
        <w:t xml:space="preserve">hinkende menschliche Entwicklung </w:t>
      </w:r>
      <w:r w:rsidR="0087466D">
        <w:t xml:space="preserve">getan haben und </w:t>
      </w:r>
      <w:r w:rsidR="00D35D6D">
        <w:t xml:space="preserve">wohl </w:t>
      </w:r>
      <w:r w:rsidR="0087466D">
        <w:t>weiterhin tun, zumal diese</w:t>
      </w:r>
      <w:r>
        <w:t xml:space="preserve"> nur langsam vorankommt. Die Konsequenz</w:t>
      </w:r>
      <w:r w:rsidR="0087466D">
        <w:t>en</w:t>
      </w:r>
      <w:r>
        <w:t xml:space="preserve"> </w:t>
      </w:r>
      <w:r w:rsidR="0087466D">
        <w:t>bestehen in –</w:t>
      </w:r>
      <w:r>
        <w:t xml:space="preserve"> wie wir mittlerweile deutlich sehen – </w:t>
      </w:r>
      <w:r w:rsidRPr="00F10BBC">
        <w:rPr>
          <w:i/>
        </w:rPr>
        <w:t>religiös</w:t>
      </w:r>
      <w:r w:rsidR="00F10BBC" w:rsidRPr="00F10BBC">
        <w:rPr>
          <w:i/>
        </w:rPr>
        <w:t>-</w:t>
      </w:r>
      <w:r w:rsidRPr="00F10BBC">
        <w:rPr>
          <w:i/>
        </w:rPr>
        <w:t>politische</w:t>
      </w:r>
      <w:r w:rsidR="0087466D">
        <w:rPr>
          <w:i/>
        </w:rPr>
        <w:t>n</w:t>
      </w:r>
      <w:r w:rsidRPr="00F10BBC">
        <w:rPr>
          <w:i/>
        </w:rPr>
        <w:t xml:space="preserve"> Fundamentalismen</w:t>
      </w:r>
      <w:r w:rsidR="0087466D">
        <w:rPr>
          <w:i/>
        </w:rPr>
        <w:t xml:space="preserve"> und Gefährdungen der Demokratie</w:t>
      </w:r>
      <w:r>
        <w:t xml:space="preserve">, </w:t>
      </w:r>
      <w:r w:rsidR="0087466D">
        <w:t>was</w:t>
      </w:r>
      <w:r>
        <w:t xml:space="preserve"> wir derzeit erleben! –  </w:t>
      </w:r>
      <w:r w:rsidR="0087466D">
        <w:t>D</w:t>
      </w:r>
      <w:r>
        <w:t>ie</w:t>
      </w:r>
      <w:r w:rsidR="00F10BBC">
        <w:t xml:space="preserve"> derzeit stattfindende</w:t>
      </w:r>
      <w:r>
        <w:t xml:space="preserve"> </w:t>
      </w:r>
      <w:r w:rsidRPr="00EE234B">
        <w:t>Klima</w:t>
      </w:r>
      <w:r w:rsidRPr="00EE234B">
        <w:softHyphen/>
        <w:t>konferenz</w:t>
      </w:r>
      <w:r>
        <w:t xml:space="preserve"> in </w:t>
      </w:r>
      <w:r w:rsidRPr="00F10BBC">
        <w:t>Paris</w:t>
      </w:r>
      <w:r w:rsidR="00EE234B">
        <w:t xml:space="preserve"> (2015)</w:t>
      </w:r>
      <w:r w:rsidR="00F10BBC">
        <w:t xml:space="preserve"> ist ein Beispiel dafür, wie schwer sich auch entwickelte Länder tun, ihre ökonomischen Orientie</w:t>
      </w:r>
      <w:r w:rsidR="00F10BBC">
        <w:softHyphen/>
        <w:t xml:space="preserve">rungen </w:t>
      </w:r>
      <w:r w:rsidR="0087466D">
        <w:t>einem gemeinsamen ökologischen Überlebensz</w:t>
      </w:r>
      <w:r w:rsidR="00F10BBC">
        <w:t xml:space="preserve">iel unterzuordnen. </w:t>
      </w:r>
      <w:r>
        <w:t xml:space="preserve"> Der Prozeß der Umweltzerstörung verläuft – zuletzt akzeleriert – seit Jahrtausen</w:t>
      </w:r>
      <w:r w:rsidR="00F10BBC">
        <w:t>den: D</w:t>
      </w:r>
      <w:r>
        <w:t xml:space="preserve">enken Sie an die Abholzung des Libanon, der griechischen Inseln, </w:t>
      </w:r>
      <w:r w:rsidR="00F10BBC">
        <w:t xml:space="preserve">die Verkarstung </w:t>
      </w:r>
      <w:r w:rsidR="0087466D">
        <w:t>adriatischer</w:t>
      </w:r>
      <w:r w:rsidR="00F10BBC">
        <w:t xml:space="preserve"> </w:t>
      </w:r>
      <w:r>
        <w:t>Küstengebiete</w:t>
      </w:r>
      <w:r w:rsidR="00F10BBC">
        <w:t xml:space="preserve">, </w:t>
      </w:r>
      <w:r>
        <w:t>das Abbrennen de</w:t>
      </w:r>
      <w:r w:rsidR="00F10BBC">
        <w:t xml:space="preserve">s Urwalds im Amazonasgebiet oder </w:t>
      </w:r>
      <w:r>
        <w:t>die Plastikrückstände in den Weltmeeren</w:t>
      </w:r>
      <w:r w:rsidR="0087466D">
        <w:t xml:space="preserve"> uvam.</w:t>
      </w:r>
      <w:r>
        <w:t xml:space="preserve"> </w:t>
      </w:r>
    </w:p>
    <w:p w:rsidR="00030AD3" w:rsidRDefault="00030AD3" w:rsidP="005A436C">
      <w:pPr>
        <w:pStyle w:val="Listenabsatz"/>
        <w:numPr>
          <w:ilvl w:val="1"/>
          <w:numId w:val="2"/>
        </w:numPr>
      </w:pPr>
      <w:r>
        <w:lastRenderedPageBreak/>
        <w:t xml:space="preserve">Wir müssen uns </w:t>
      </w:r>
      <w:r w:rsidR="00F10BBC">
        <w:t xml:space="preserve">daher </w:t>
      </w:r>
      <w:r>
        <w:t xml:space="preserve">heute fragen, </w:t>
      </w:r>
      <w:r w:rsidRPr="00F10BBC">
        <w:rPr>
          <w:i/>
        </w:rPr>
        <w:t xml:space="preserve">was vom </w:t>
      </w:r>
      <w:r w:rsidR="00312C16">
        <w:rPr>
          <w:i/>
        </w:rPr>
        <w:t xml:space="preserve">rationalen und autonomen </w:t>
      </w:r>
      <w:r w:rsidRPr="00F10BBC">
        <w:rPr>
          <w:i/>
        </w:rPr>
        <w:t>Individuum</w:t>
      </w:r>
      <w:r>
        <w:t xml:space="preserve"> noch </w:t>
      </w:r>
      <w:r w:rsidRPr="00F10BBC">
        <w:rPr>
          <w:i/>
        </w:rPr>
        <w:t>übrig geblieben ist</w:t>
      </w:r>
      <w:r>
        <w:t xml:space="preserve"> und wieviel seiner Substanz bereits </w:t>
      </w:r>
      <w:r w:rsidRPr="00F10BBC">
        <w:t>dem politi</w:t>
      </w:r>
      <w:r w:rsidRPr="00F10BBC">
        <w:softHyphen/>
        <w:t>sch-ökonomischen System</w:t>
      </w:r>
      <w:r>
        <w:t xml:space="preserve"> </w:t>
      </w:r>
      <w:r w:rsidRPr="00F10BBC">
        <w:t>geopfert</w:t>
      </w:r>
      <w:r>
        <w:t xml:space="preserve"> wurde. – Hat nicht der enorme </w:t>
      </w:r>
      <w:r w:rsidRPr="00F10BBC">
        <w:t>Existenz</w:t>
      </w:r>
      <w:r w:rsidRPr="00F10BBC">
        <w:softHyphen/>
        <w:t>druck</w:t>
      </w:r>
      <w:r>
        <w:t xml:space="preserve"> längst dazu geführt, dass viele Menschen – auch in unseren vermeintlich freien und entwickelten Ländern – nicht mehr ihr (eige</w:t>
      </w:r>
      <w:r w:rsidR="00890989">
        <w:softHyphen/>
      </w:r>
      <w:r>
        <w:t>nes) Leben leben können, sondern nur noch jenes, das ihnen vom ‚System’ vorgezeichnet wird?</w:t>
      </w:r>
      <w:r w:rsidR="00F10BBC">
        <w:t xml:space="preserve"> </w:t>
      </w:r>
      <w:r>
        <w:t xml:space="preserve">– Das bedeutet aber nichts anderes, als dass wir </w:t>
      </w:r>
      <w:r w:rsidRPr="00E662A9">
        <w:t>bereits</w:t>
      </w:r>
      <w:r w:rsidRPr="00F26DE1">
        <w:rPr>
          <w:b/>
        </w:rPr>
        <w:t xml:space="preserve"> </w:t>
      </w:r>
      <w:r>
        <w:t xml:space="preserve">ein entscheidendes </w:t>
      </w:r>
      <w:r w:rsidRPr="00F10BBC">
        <w:t>Stück</w:t>
      </w:r>
      <w:r w:rsidR="00AF2D7D">
        <w:t xml:space="preserve"> menschlicher</w:t>
      </w:r>
      <w:r w:rsidRPr="00F10BBC">
        <w:t xml:space="preserve"> Freiheit verloren</w:t>
      </w:r>
      <w:r>
        <w:t xml:space="preserve"> haben und im Begriffe sind, </w:t>
      </w:r>
      <w:r w:rsidR="00AF2D7D">
        <w:t>noch</w:t>
      </w:r>
      <w:r>
        <w:t xml:space="preserve"> mehr zu verlieren; und zwar neben der </w:t>
      </w:r>
      <w:r w:rsidRPr="00890989">
        <w:t>äußeren</w:t>
      </w:r>
      <w:r>
        <w:t xml:space="preserve">, immer mehr auch die </w:t>
      </w:r>
      <w:r w:rsidRPr="00890989">
        <w:t>innere</w:t>
      </w:r>
      <w:r w:rsidR="00AF2D7D">
        <w:t>, individuelle</w:t>
      </w:r>
      <w:r>
        <w:t xml:space="preserve"> Freiheit.</w:t>
      </w:r>
    </w:p>
    <w:p w:rsidR="00030AD3" w:rsidRDefault="00AB52A1" w:rsidP="005A436C">
      <w:pPr>
        <w:pStyle w:val="Listenabsatz"/>
        <w:numPr>
          <w:ilvl w:val="1"/>
          <w:numId w:val="2"/>
        </w:numPr>
      </w:pPr>
      <w:r>
        <w:t>A</w:t>
      </w:r>
      <w:r w:rsidR="00030AD3">
        <w:t>uf der Strecke</w:t>
      </w:r>
      <w:r>
        <w:t xml:space="preserve"> zu bleiben droht</w:t>
      </w:r>
      <w:r w:rsidR="00030AD3">
        <w:t xml:space="preserve"> auch die </w:t>
      </w:r>
      <w:r w:rsidR="00890989">
        <w:t xml:space="preserve">gesellschaftlich </w:t>
      </w:r>
      <w:r w:rsidR="00030AD3">
        <w:t>nötige Rück</w:t>
      </w:r>
      <w:r w:rsidR="00890989">
        <w:softHyphen/>
      </w:r>
      <w:r w:rsidR="00030AD3">
        <w:t>bindung der Einzelnen an die Gemeinschaft, ohne die das ,</w:t>
      </w:r>
      <w:r w:rsidR="00030AD3" w:rsidRPr="00890989">
        <w:rPr>
          <w:i/>
        </w:rPr>
        <w:t>Ganze</w:t>
      </w:r>
      <w:r w:rsidR="00030AD3">
        <w:t xml:space="preserve">‘ </w:t>
      </w:r>
      <w:r>
        <w:t xml:space="preserve">aber </w:t>
      </w:r>
      <w:r w:rsidR="00030AD3">
        <w:t>nicht funktionieren kann. – Manchen von Ihnen ist vielleicht vom Lateinunterricht aus dem ,</w:t>
      </w:r>
      <w:r w:rsidR="00030AD3" w:rsidRPr="00890989">
        <w:t>Liber Latinus</w:t>
      </w:r>
      <w:r w:rsidR="00030AD3">
        <w:t xml:space="preserve">‘ noch die </w:t>
      </w:r>
      <w:r>
        <w:t>Parabel</w:t>
      </w:r>
      <w:r w:rsidR="00030AD3">
        <w:t xml:space="preserve"> des </w:t>
      </w:r>
      <w:r w:rsidR="00030AD3" w:rsidRPr="00890989">
        <w:t>Menenius Agrippa</w:t>
      </w:r>
      <w:r>
        <w:t xml:space="preserve"> vom Körper und seinen Organen</w:t>
      </w:r>
      <w:r w:rsidR="00030AD3">
        <w:t xml:space="preserve"> bekannt, die Livius erzählt.</w:t>
      </w:r>
      <w:r w:rsidR="00030AD3">
        <w:rPr>
          <w:rStyle w:val="Funotenzeichen"/>
        </w:rPr>
        <w:footnoteReference w:id="70"/>
      </w:r>
      <w:r w:rsidR="00983DA2">
        <w:t xml:space="preserve"> Auch d</w:t>
      </w:r>
      <w:r w:rsidR="00983DA2" w:rsidRPr="00983DA2">
        <w:t>er Apostel Paulus b</w:t>
      </w:r>
      <w:r w:rsidR="00983DA2">
        <w:t>ediente sich im Ersten Korinther</w:t>
      </w:r>
      <w:r w:rsidR="00983DA2" w:rsidRPr="00983DA2">
        <w:t>brief (12) dieses rhetorischen Beispiels, das dann auch der Kirchen</w:t>
      </w:r>
      <w:r w:rsidR="00983DA2">
        <w:softHyphen/>
      </w:r>
      <w:r w:rsidR="00983DA2" w:rsidRPr="00983DA2">
        <w:t>vater Clemens (als Bischof von Rom) in seinem Brief an die Korinther ver</w:t>
      </w:r>
      <w:r w:rsidR="00983DA2">
        <w:softHyphen/>
      </w:r>
      <w:r w:rsidR="00983DA2" w:rsidRPr="00983DA2">
        <w:t xml:space="preserve">wendete. Aber die Verwendung dieser Geschichte ist </w:t>
      </w:r>
      <w:r w:rsidR="00983DA2">
        <w:t>wesentlich</w:t>
      </w:r>
      <w:r w:rsidR="00983DA2" w:rsidRPr="00983DA2">
        <w:t xml:space="preserve"> älter und begegnet schon bei griechischen Historikern und stammt wohl von einem Sophisten</w:t>
      </w:r>
      <w:r w:rsidR="00983DA2">
        <w:t>.</w:t>
      </w:r>
      <w:r w:rsidR="00983DA2">
        <w:rPr>
          <w:rStyle w:val="Funotenzeichen"/>
        </w:rPr>
        <w:footnoteReference w:id="71"/>
      </w:r>
      <w:r w:rsidR="00983DA2">
        <w:t xml:space="preserve"> </w:t>
      </w:r>
      <w:r w:rsidR="00983DA2" w:rsidRPr="00983DA2">
        <w:t xml:space="preserve">– Diese Parabel </w:t>
      </w:r>
      <w:r>
        <w:t>ist</w:t>
      </w:r>
      <w:r w:rsidR="00983DA2" w:rsidRPr="00983DA2">
        <w:t xml:space="preserve"> Beispiel der Verwobenheit und der rezeptiven Verwendung literarischer Texte der Antike im frühen Christentum</w:t>
      </w:r>
      <w:r w:rsidR="00983DA2">
        <w:t>.</w:t>
      </w:r>
      <w:r w:rsidR="00983DA2">
        <w:rPr>
          <w:rStyle w:val="Funotenzeichen"/>
        </w:rPr>
        <w:footnoteReference w:id="72"/>
      </w:r>
    </w:p>
    <w:p w:rsidR="00030AD3" w:rsidRDefault="00030AD3" w:rsidP="005A436C">
      <w:pPr>
        <w:pStyle w:val="Listenabsatz"/>
        <w:numPr>
          <w:ilvl w:val="1"/>
          <w:numId w:val="2"/>
        </w:numPr>
      </w:pPr>
      <w:r>
        <w:t xml:space="preserve">Wo liegen heute die </w:t>
      </w:r>
      <w:r w:rsidRPr="00890989">
        <w:rPr>
          <w:i/>
        </w:rPr>
        <w:t>Ausweichmöglichkeiten</w:t>
      </w:r>
      <w:r>
        <w:t xml:space="preserve"> für die (angeblich) bestehenden ökono</w:t>
      </w:r>
      <w:r>
        <w:softHyphen/>
        <w:t>misch-politischen Sachzwänge? Droh</w:t>
      </w:r>
      <w:r w:rsidR="00AB52A1">
        <w:t xml:space="preserve">en uns </w:t>
      </w:r>
      <w:r w:rsidRPr="00890989">
        <w:t>neue Form</w:t>
      </w:r>
      <w:r w:rsidR="00AB52A1">
        <w:t>en</w:t>
      </w:r>
      <w:r w:rsidRPr="00890989">
        <w:t xml:space="preserve"> der ‚Sklave</w:t>
      </w:r>
      <w:r w:rsidRPr="00890989">
        <w:softHyphen/>
        <w:t xml:space="preserve">rei’ </w:t>
      </w:r>
      <w:r>
        <w:t xml:space="preserve">oder </w:t>
      </w:r>
      <w:r w:rsidRPr="00890989">
        <w:t>‚Schuldknechtschaft’</w:t>
      </w:r>
      <w:r w:rsidR="00AB52A1">
        <w:t xml:space="preserve"> (durch Wirtschaft und Technik): Automatisierung und Digitalisierung</w:t>
      </w:r>
      <w:r>
        <w:t xml:space="preserve">? – Wird doch der </w:t>
      </w:r>
      <w:r w:rsidR="00AB52A1">
        <w:t xml:space="preserve">kontinuierliche </w:t>
      </w:r>
      <w:r w:rsidRPr="00890989">
        <w:t>Freiheitsverlust geschickt ‚verwal</w:t>
      </w:r>
      <w:r w:rsidRPr="00890989">
        <w:softHyphen/>
        <w:t>tet’</w:t>
      </w:r>
      <w:r>
        <w:t xml:space="preserve"> und die </w:t>
      </w:r>
      <w:r w:rsidRPr="00890989">
        <w:t>zunehmende Objektrolle</w:t>
      </w:r>
      <w:r>
        <w:t xml:space="preserve"> des Menschen</w:t>
      </w:r>
      <w:r w:rsidR="00890989">
        <w:t xml:space="preserve"> gekonnt</w:t>
      </w:r>
      <w:r>
        <w:t xml:space="preserve"> ver</w:t>
      </w:r>
      <w:r w:rsidR="00890989">
        <w:softHyphen/>
      </w:r>
      <w:r>
        <w:t xml:space="preserve">schleiert. – Und dies geschieht trotz des Bestehens von </w:t>
      </w:r>
      <w:r w:rsidRPr="00890989">
        <w:rPr>
          <w:i/>
        </w:rPr>
        <w:t>Persönlichkeits-</w:t>
      </w:r>
      <w:r w:rsidR="00890989">
        <w:t xml:space="preserve"> und </w:t>
      </w:r>
      <w:r w:rsidRPr="00890989">
        <w:rPr>
          <w:i/>
        </w:rPr>
        <w:t>Menschenrechten</w:t>
      </w:r>
      <w:r>
        <w:t xml:space="preserve"> und </w:t>
      </w:r>
      <w:r w:rsidRPr="00890989">
        <w:t>Beteuerungen</w:t>
      </w:r>
      <w:r>
        <w:t xml:space="preserve"> über die Bedeutung von Freiheit und Menschenwürde. – Droht die (seit Alters her in Gemeinschaft eingebettete) I</w:t>
      </w:r>
      <w:r w:rsidR="00440122">
        <w:t>ndividualität des Menschen zur Systema</w:t>
      </w:r>
      <w:r>
        <w:t>ttrappe zu verkommen? –</w:t>
      </w:r>
      <w:r w:rsidR="00983DA2">
        <w:t xml:space="preserve"> </w:t>
      </w:r>
      <w:r w:rsidRPr="00983DA2">
        <w:t>Adorno</w:t>
      </w:r>
      <w:r>
        <w:t xml:space="preserve"> sprach </w:t>
      </w:r>
      <w:r w:rsidR="00983DA2">
        <w:t xml:space="preserve">schon vor Jahrzehnten </w:t>
      </w:r>
      <w:r>
        <w:t>von ‚</w:t>
      </w:r>
      <w:r w:rsidRPr="00983DA2">
        <w:rPr>
          <w:i/>
        </w:rPr>
        <w:t>Pseudo-Individu</w:t>
      </w:r>
      <w:r w:rsidRPr="00983DA2">
        <w:rPr>
          <w:i/>
        </w:rPr>
        <w:softHyphen/>
        <w:t>ali</w:t>
      </w:r>
      <w:r w:rsidRPr="00983DA2">
        <w:rPr>
          <w:i/>
        </w:rPr>
        <w:softHyphen/>
        <w:t>sierung</w:t>
      </w:r>
      <w:r w:rsidRPr="00983DA2">
        <w:t>’</w:t>
      </w:r>
      <w:r w:rsidR="00983DA2">
        <w:t>, was die Frage aufwirft, ob unsere Entwicklung zur Freiheit erst ein Anfang war.</w:t>
      </w:r>
      <w:r>
        <w:t xml:space="preserve"> </w:t>
      </w:r>
      <w:r w:rsidR="00440122">
        <w:t xml:space="preserve">– </w:t>
      </w:r>
      <w:r w:rsidR="00983DA2">
        <w:t xml:space="preserve">Zu fragen ist auch, ob </w:t>
      </w:r>
      <w:r>
        <w:t xml:space="preserve">sich </w:t>
      </w:r>
      <w:r w:rsidR="00983DA2">
        <w:t>das derzeit herrschende</w:t>
      </w:r>
      <w:r>
        <w:t xml:space="preserve"> </w:t>
      </w:r>
      <w:r w:rsidR="00440122">
        <w:t xml:space="preserve">politisch-ökonomische </w:t>
      </w:r>
      <w:r>
        <w:t xml:space="preserve">Systemverständnis noch durch </w:t>
      </w:r>
      <w:r w:rsidRPr="00983DA2">
        <w:rPr>
          <w:i/>
        </w:rPr>
        <w:t>Bildung</w:t>
      </w:r>
      <w:r>
        <w:t xml:space="preserve"> oder eine </w:t>
      </w:r>
      <w:r w:rsidRPr="00983DA2">
        <w:rPr>
          <w:i/>
        </w:rPr>
        <w:t>neue Politikorientierung</w:t>
      </w:r>
      <w:r>
        <w:t xml:space="preserve"> abwenden</w:t>
      </w:r>
      <w:r w:rsidR="00983DA2">
        <w:t xml:space="preserve"> läßt</w:t>
      </w:r>
      <w:r>
        <w:t>?</w:t>
      </w:r>
    </w:p>
    <w:p w:rsidR="00030AD3" w:rsidRDefault="00030AD3" w:rsidP="005A436C">
      <w:pPr>
        <w:pStyle w:val="Listenabsatz"/>
        <w:numPr>
          <w:ilvl w:val="1"/>
          <w:numId w:val="2"/>
        </w:numPr>
      </w:pPr>
      <w:r>
        <w:t xml:space="preserve">Und diese Überlegungen beziehen </w:t>
      </w:r>
      <w:r w:rsidR="00440122">
        <w:t xml:space="preserve">neueste Gefährdungen </w:t>
      </w:r>
      <w:r w:rsidR="00077494">
        <w:t xml:space="preserve">noch gar nicht ein: insbesondere die </w:t>
      </w:r>
      <w:r w:rsidR="00983DA2">
        <w:t>politische</w:t>
      </w:r>
      <w:r w:rsidR="00077494">
        <w:t xml:space="preserve"> </w:t>
      </w:r>
      <w:r w:rsidR="00077494" w:rsidRPr="00077494">
        <w:rPr>
          <w:i/>
        </w:rPr>
        <w:t>Asyl- und</w:t>
      </w:r>
      <w:r w:rsidR="00983DA2">
        <w:t xml:space="preserve"> </w:t>
      </w:r>
      <w:r w:rsidRPr="00983DA2">
        <w:rPr>
          <w:i/>
        </w:rPr>
        <w:t>Flüchtlingsfrage</w:t>
      </w:r>
      <w:r w:rsidR="00983DA2">
        <w:t xml:space="preserve"> </w:t>
      </w:r>
      <w:r w:rsidR="00077494">
        <w:t>und die damit verknüpften Gefahren für die Demokratien</w:t>
      </w:r>
      <w:r w:rsidR="00983DA2">
        <w:t>!</w:t>
      </w:r>
      <w:r w:rsidR="00077494">
        <w:t xml:space="preserve"> Von den absehbaren ökologischen Problemen einmal abgesehen.</w:t>
      </w:r>
    </w:p>
    <w:p w:rsidR="00030AD3" w:rsidRDefault="00030AD3" w:rsidP="00204C0E">
      <w:pPr>
        <w:pStyle w:val="Listenabsatz"/>
      </w:pPr>
    </w:p>
    <w:p w:rsidR="00030AD3" w:rsidRDefault="00030AD3" w:rsidP="006A305D">
      <w:pPr>
        <w:spacing w:after="240" w:line="120" w:lineRule="atLeast"/>
      </w:pPr>
      <w:r>
        <w:t xml:space="preserve">Es scheint, dass die Bedeutung des </w:t>
      </w:r>
      <w:r w:rsidR="004D4148">
        <w:t xml:space="preserve">– </w:t>
      </w:r>
      <w:r>
        <w:t>mittlerweile gefährdeten</w:t>
      </w:r>
      <w:r w:rsidR="004D4148">
        <w:t xml:space="preserve"> – </w:t>
      </w:r>
      <w:r>
        <w:t xml:space="preserve"> </w:t>
      </w:r>
      <w:r w:rsidRPr="004D4148">
        <w:t>Individualisierungs</w:t>
      </w:r>
      <w:r w:rsidRPr="004D4148">
        <w:softHyphen/>
        <w:t>pro</w:t>
      </w:r>
      <w:r w:rsidRPr="004D4148">
        <w:softHyphen/>
        <w:t>zesses</w:t>
      </w:r>
      <w:r>
        <w:t xml:space="preserve"> noch </w:t>
      </w:r>
      <w:r w:rsidR="00D16EFE">
        <w:t>zu wenig</w:t>
      </w:r>
      <w:r>
        <w:t xml:space="preserve"> erkannt und verstanden wird. – Obwohl das </w:t>
      </w:r>
      <w:r w:rsidRPr="004D4148">
        <w:t>Thema</w:t>
      </w:r>
      <w:r>
        <w:t xml:space="preserve"> unserer Tagung historisch weit – Jahrtausende weit – zurückliegt, ist dessen </w:t>
      </w:r>
      <w:r w:rsidRPr="004D4148">
        <w:rPr>
          <w:i/>
        </w:rPr>
        <w:t>Aktualität</w:t>
      </w:r>
      <w:r>
        <w:t xml:space="preserve"> nicht zu übersehen! –</w:t>
      </w:r>
      <w:r w:rsidR="004D4148">
        <w:t xml:space="preserve"> Und die</w:t>
      </w:r>
      <w:r>
        <w:t xml:space="preserve"> </w:t>
      </w:r>
      <w:r w:rsidRPr="004D4148">
        <w:rPr>
          <w:i/>
        </w:rPr>
        <w:lastRenderedPageBreak/>
        <w:t>Rechtsgeschichte</w:t>
      </w:r>
      <w:r>
        <w:t xml:space="preserve"> vermag</w:t>
      </w:r>
      <w:r w:rsidR="00D16EFE">
        <w:t xml:space="preserve">, </w:t>
      </w:r>
      <w:r w:rsidR="004D4148">
        <w:t>wie andere historische Disziplinen</w:t>
      </w:r>
      <w:r w:rsidR="00D16EFE">
        <w:t>,</w:t>
      </w:r>
      <w:r>
        <w:t xml:space="preserve"> der Rechts- und Gesellschafts</w:t>
      </w:r>
      <w:r>
        <w:softHyphen/>
        <w:t>er</w:t>
      </w:r>
      <w:r>
        <w:softHyphen/>
        <w:t>kenntnis</w:t>
      </w:r>
      <w:r w:rsidR="004D4148">
        <w:t xml:space="preserve"> der Gegenwart</w:t>
      </w:r>
      <w:r>
        <w:t xml:space="preserve"> insofern zu dienen, als sie ‚die </w:t>
      </w:r>
      <w:r w:rsidRPr="004D4148">
        <w:t>Relativität</w:t>
      </w:r>
      <w:r>
        <w:t xml:space="preserve"> von Rechts</w:t>
      </w:r>
      <w:r w:rsidR="004D4148">
        <w:softHyphen/>
      </w:r>
      <w:r>
        <w:t>ordnungen, in denen man lebt, bewußt’ machen und zeigen kann,</w:t>
      </w:r>
      <w:r w:rsidR="00D16EFE">
        <w:rPr>
          <w:rStyle w:val="Funotenzeichen"/>
        </w:rPr>
        <w:footnoteReference w:id="73"/>
      </w:r>
      <w:r>
        <w:t xml:space="preserve"> welche Mühen und welcher Aufwand nötig waren, um dem Individuum jene Stell</w:t>
      </w:r>
      <w:r w:rsidR="004D4148">
        <w:t xml:space="preserve">ung zu gewähren, die ihm heute </w:t>
      </w:r>
      <w:r>
        <w:t xml:space="preserve">noch </w:t>
      </w:r>
      <w:r w:rsidR="00D16EFE">
        <w:t xml:space="preserve">formell </w:t>
      </w:r>
      <w:r>
        <w:t>zukommt</w:t>
      </w:r>
      <w:r w:rsidR="00D16EFE">
        <w:t>. M</w:t>
      </w:r>
      <w:r w:rsidR="004D4148">
        <w:t xml:space="preserve">ag sie mittlerweile auch </w:t>
      </w:r>
      <w:r w:rsidR="00D16EFE">
        <w:t>bedroht</w:t>
      </w:r>
      <w:r w:rsidR="004D4148">
        <w:t xml:space="preserve"> sein</w:t>
      </w:r>
      <w:r>
        <w:t xml:space="preserve">. </w:t>
      </w:r>
    </w:p>
    <w:p w:rsidR="00D16EFE" w:rsidRDefault="004D4148" w:rsidP="006A305D">
      <w:pPr>
        <w:spacing w:after="240" w:line="120" w:lineRule="atLeast"/>
      </w:pPr>
      <w:r>
        <w:t>S</w:t>
      </w:r>
      <w:r w:rsidR="00D16EFE">
        <w:t>chließen will ich mit dem meiner</w:t>
      </w:r>
      <w:r>
        <w:t xml:space="preserve"> </w:t>
      </w:r>
      <w:r w:rsidR="00D16EFE">
        <w:t>‚Einleitung‘</w:t>
      </w:r>
      <w:r w:rsidR="00030AD3">
        <w:t xml:space="preserve"> vorangestellte</w:t>
      </w:r>
      <w:r w:rsidR="00680F3C">
        <w:t>n</w:t>
      </w:r>
      <w:r w:rsidR="00030AD3">
        <w:t xml:space="preserve"> </w:t>
      </w:r>
      <w:r w:rsidR="00030AD3" w:rsidRPr="004D4148">
        <w:t>Motto</w:t>
      </w:r>
      <w:r w:rsidR="00D16EFE">
        <w:t xml:space="preserve"> </w:t>
      </w:r>
      <w:r w:rsidR="00030AD3">
        <w:t xml:space="preserve">Max </w:t>
      </w:r>
      <w:r w:rsidR="00030AD3" w:rsidRPr="004D4148">
        <w:t>Horkheimer</w:t>
      </w:r>
      <w:r w:rsidR="00D16EFE">
        <w:t>s</w:t>
      </w:r>
      <w:r w:rsidR="00990F8D">
        <w:t xml:space="preserve">, </w:t>
      </w:r>
      <w:r w:rsidR="00D16EFE">
        <w:t>das zu weiteren Assoziationen anregt:</w:t>
      </w:r>
    </w:p>
    <w:p w:rsidR="00D16EFE" w:rsidRPr="00D16EFE" w:rsidRDefault="00990F8D" w:rsidP="006A305D">
      <w:pPr>
        <w:spacing w:after="240" w:line="120" w:lineRule="atLeast"/>
        <w:rPr>
          <w:sz w:val="20"/>
          <w:szCs w:val="20"/>
        </w:rPr>
      </w:pPr>
      <w:r w:rsidRPr="00D16EFE">
        <w:rPr>
          <w:sz w:val="20"/>
          <w:szCs w:val="20"/>
        </w:rPr>
        <w:t>„Die Geschichte des Individuums, selbst im alten Griechenland, das nicht nur den Begriff der Individualität hervorbrachte, sondern auch die Muster fü</w:t>
      </w:r>
      <w:r w:rsidR="00D16EFE">
        <w:rPr>
          <w:sz w:val="20"/>
          <w:szCs w:val="20"/>
        </w:rPr>
        <w:t>r die abendlän</w:t>
      </w:r>
      <w:r w:rsidRPr="00D16EFE">
        <w:rPr>
          <w:sz w:val="20"/>
          <w:szCs w:val="20"/>
        </w:rPr>
        <w:t>dische Kultur abgab, ist noch weitgehend ungeschrieben.“</w:t>
      </w:r>
      <w:r w:rsidR="004D4148" w:rsidRPr="00D16EFE">
        <w:rPr>
          <w:sz w:val="20"/>
          <w:szCs w:val="20"/>
        </w:rPr>
        <w:t xml:space="preserve"> </w:t>
      </w:r>
    </w:p>
    <w:p w:rsidR="002318CF" w:rsidRDefault="004D4148" w:rsidP="006A305D">
      <w:pPr>
        <w:spacing w:after="240" w:line="120" w:lineRule="atLeast"/>
      </w:pPr>
      <w:r>
        <w:t>Vielleicht gelingt es</w:t>
      </w:r>
      <w:r w:rsidR="00D16EFE">
        <w:t xml:space="preserve"> uns</w:t>
      </w:r>
      <w:r>
        <w:t xml:space="preserve">, </w:t>
      </w:r>
      <w:r w:rsidR="00030AD3">
        <w:t>mit dieser Tagung</w:t>
      </w:r>
      <w:r w:rsidR="00D16EFE">
        <w:t>,</w:t>
      </w:r>
      <w:r w:rsidR="00030AD3">
        <w:t xml:space="preserve"> die ‚Geschichte des Indi</w:t>
      </w:r>
      <w:r w:rsidR="00D16EFE">
        <w:t xml:space="preserve">viduums’ </w:t>
      </w:r>
      <w:r w:rsidR="00D16EFE">
        <w:softHyphen/>
        <w:t>im Sinne Horkheimers</w:t>
      </w:r>
      <w:r w:rsidR="00030AD3">
        <w:t xml:space="preserve"> ein Stück </w:t>
      </w:r>
      <w:r w:rsidR="00D16EFE">
        <w:t>voranzubringen</w:t>
      </w:r>
      <w:r>
        <w:t xml:space="preserve"> und neben dem archaischen </w:t>
      </w:r>
      <w:r w:rsidR="00EF723F">
        <w:t>‚</w:t>
      </w:r>
      <w:r>
        <w:t>Helden</w:t>
      </w:r>
      <w:r w:rsidR="00EF723F">
        <w:t>‘ und den ‚Heiligen‘ der Religionen,</w:t>
      </w:r>
      <w:r>
        <w:t xml:space="preserve"> andere</w:t>
      </w:r>
      <w:r w:rsidR="00EF723F">
        <w:t>, brauchbarere</w:t>
      </w:r>
      <w:r>
        <w:t xml:space="preserve"> Leitfiguren zu entwickeln</w:t>
      </w:r>
      <w:r w:rsidR="00030AD3">
        <w:t xml:space="preserve">! </w:t>
      </w:r>
    </w:p>
    <w:p w:rsidR="00030AD3" w:rsidRDefault="00030AD3" w:rsidP="006A305D">
      <w:pPr>
        <w:spacing w:after="240" w:line="120" w:lineRule="atLeast"/>
      </w:pPr>
      <w:r>
        <w:t xml:space="preserve">  </w:t>
      </w:r>
      <w:r w:rsidR="004B7F7B">
        <w:t>Einen Wink, wohin die Entwicklung des Menschen gehen könnte gab der hel</w:t>
      </w:r>
      <w:r w:rsidR="00D35D6D">
        <w:t>l</w:t>
      </w:r>
      <w:r w:rsidR="004B7F7B">
        <w:t>enistische Komödiendichter und Theop</w:t>
      </w:r>
      <w:r w:rsidR="00D35D6D">
        <w:t>h</w:t>
      </w:r>
      <w:r w:rsidR="004B7F7B">
        <w:t xml:space="preserve">rastschüler </w:t>
      </w:r>
      <w:r w:rsidR="004B7F7B" w:rsidRPr="004B7F7B">
        <w:rPr>
          <w:i/>
        </w:rPr>
        <w:t>Menander</w:t>
      </w:r>
      <w:r w:rsidR="004B7F7B">
        <w:rPr>
          <w:i/>
        </w:rPr>
        <w:t xml:space="preserve">, </w:t>
      </w:r>
      <w:r w:rsidR="004B7F7B">
        <w:t xml:space="preserve">von dem der für die späte griechische Humanität repräsentative Vers stammt: </w:t>
      </w:r>
    </w:p>
    <w:p w:rsidR="004B7F7B" w:rsidRDefault="004B7F7B" w:rsidP="006A305D">
      <w:pPr>
        <w:spacing w:after="240" w:line="120" w:lineRule="atLeast"/>
        <w:rPr>
          <w:sz w:val="20"/>
          <w:szCs w:val="20"/>
        </w:rPr>
      </w:pPr>
      <w:r w:rsidRPr="004B7F7B">
        <w:rPr>
          <w:sz w:val="20"/>
          <w:szCs w:val="20"/>
        </w:rPr>
        <w:t>„Wie liebenswürdig ist der Mensch, wenn er ein Mensch ist.</w:t>
      </w:r>
      <w:r w:rsidR="00D35D6D">
        <w:rPr>
          <w:sz w:val="20"/>
          <w:szCs w:val="20"/>
        </w:rPr>
        <w:t xml:space="preserve"> – </w:t>
      </w:r>
      <w:r w:rsidRPr="004B7F7B">
        <w:rPr>
          <w:sz w:val="20"/>
          <w:szCs w:val="20"/>
        </w:rPr>
        <w:sym w:font="Greek Old Face C" w:char="F0E6"/>
      </w:r>
      <w:r w:rsidRPr="004B7F7B">
        <w:rPr>
          <w:sz w:val="20"/>
          <w:szCs w:val="20"/>
        </w:rPr>
        <w:sym w:font="Greek Old Face C" w:char="F06A"/>
      </w:r>
      <w:r w:rsidRPr="004B7F7B">
        <w:rPr>
          <w:sz w:val="20"/>
          <w:szCs w:val="20"/>
        </w:rPr>
        <w:t xml:space="preserve"> </w:t>
      </w:r>
      <w:r w:rsidRPr="004B7F7B">
        <w:rPr>
          <w:sz w:val="20"/>
          <w:szCs w:val="20"/>
        </w:rPr>
        <w:sym w:font="Greek Old Face C" w:char="F063"/>
      </w:r>
      <w:r w:rsidRPr="004B7F7B">
        <w:rPr>
          <w:sz w:val="20"/>
          <w:szCs w:val="20"/>
        </w:rPr>
        <w:sym w:font="Greek Old Face C" w:char="F061"/>
      </w:r>
      <w:r w:rsidRPr="004B7F7B">
        <w:rPr>
          <w:sz w:val="20"/>
          <w:szCs w:val="20"/>
        </w:rPr>
        <w:sym w:font="Greek Old Face C" w:char="F072"/>
      </w:r>
      <w:r w:rsidRPr="004B7F7B">
        <w:rPr>
          <w:sz w:val="20"/>
          <w:szCs w:val="20"/>
        </w:rPr>
        <w:sym w:font="Greek Old Face C" w:char="F085"/>
      </w:r>
      <w:r w:rsidRPr="004B7F7B">
        <w:rPr>
          <w:sz w:val="20"/>
          <w:szCs w:val="20"/>
        </w:rPr>
        <w:sym w:font="Greek Old Face C" w:char="F065"/>
      </w:r>
      <w:r w:rsidRPr="004B7F7B">
        <w:rPr>
          <w:sz w:val="20"/>
          <w:szCs w:val="20"/>
        </w:rPr>
        <w:sym w:font="Greek Old Face C" w:char="F06E"/>
      </w:r>
      <w:r w:rsidRPr="004B7F7B">
        <w:rPr>
          <w:sz w:val="20"/>
          <w:szCs w:val="20"/>
        </w:rPr>
        <w:t xml:space="preserve"> </w:t>
      </w:r>
      <w:r w:rsidRPr="004B7F7B">
        <w:rPr>
          <w:sz w:val="20"/>
          <w:szCs w:val="20"/>
        </w:rPr>
        <w:sym w:font="Greek Old Face C" w:char="F09C"/>
      </w:r>
      <w:r w:rsidRPr="004B7F7B">
        <w:rPr>
          <w:sz w:val="20"/>
          <w:szCs w:val="20"/>
        </w:rPr>
        <w:sym w:font="Greek Old Face C" w:char="F073"/>
      </w:r>
      <w:r w:rsidRPr="004B7F7B">
        <w:rPr>
          <w:sz w:val="20"/>
          <w:szCs w:val="20"/>
        </w:rPr>
        <w:sym w:font="Greek Old Face C" w:char="F074"/>
      </w:r>
      <w:r w:rsidRPr="004B7F7B">
        <w:rPr>
          <w:sz w:val="20"/>
          <w:szCs w:val="20"/>
        </w:rPr>
        <w:sym w:font="Greek Old Face C" w:char="F027"/>
      </w:r>
      <w:r w:rsidRPr="004B7F7B">
        <w:rPr>
          <w:sz w:val="20"/>
          <w:szCs w:val="20"/>
        </w:rPr>
        <w:t xml:space="preserve"> </w:t>
      </w:r>
      <w:r w:rsidRPr="004B7F7B">
        <w:rPr>
          <w:sz w:val="20"/>
          <w:szCs w:val="20"/>
        </w:rPr>
        <w:sym w:font="Greek Old Face C" w:char="F0A5"/>
      </w:r>
      <w:r w:rsidRPr="004B7F7B">
        <w:rPr>
          <w:sz w:val="20"/>
          <w:szCs w:val="20"/>
        </w:rPr>
        <w:sym w:font="Greek Old Face C" w:char="F06E"/>
      </w:r>
      <w:r w:rsidRPr="004B7F7B">
        <w:rPr>
          <w:sz w:val="20"/>
          <w:szCs w:val="20"/>
        </w:rPr>
        <w:sym w:font="Greek Old Face C" w:char="F071"/>
      </w:r>
      <w:r w:rsidRPr="004B7F7B">
        <w:rPr>
          <w:sz w:val="20"/>
          <w:szCs w:val="20"/>
        </w:rPr>
        <w:sym w:font="Greek Old Face C" w:char="F072"/>
      </w:r>
      <w:r w:rsidRPr="004B7F7B">
        <w:rPr>
          <w:sz w:val="20"/>
          <w:szCs w:val="20"/>
        </w:rPr>
        <w:sym w:font="Greek Old Face C" w:char="F077"/>
      </w:r>
      <w:r w:rsidRPr="004B7F7B">
        <w:rPr>
          <w:sz w:val="20"/>
          <w:szCs w:val="20"/>
        </w:rPr>
        <w:sym w:font="Greek Old Face C" w:char="F070"/>
      </w:r>
      <w:r w:rsidRPr="004B7F7B">
        <w:rPr>
          <w:sz w:val="20"/>
          <w:szCs w:val="20"/>
        </w:rPr>
        <w:sym w:font="Greek Old Face C" w:char="F06F"/>
      </w:r>
      <w:r w:rsidRPr="004B7F7B">
        <w:rPr>
          <w:sz w:val="20"/>
          <w:szCs w:val="20"/>
        </w:rPr>
        <w:sym w:font="Greek Old Face C" w:char="F06A"/>
      </w:r>
      <w:r w:rsidRPr="004B7F7B">
        <w:rPr>
          <w:sz w:val="20"/>
          <w:szCs w:val="20"/>
        </w:rPr>
        <w:t xml:space="preserve"> </w:t>
      </w:r>
      <w:r w:rsidRPr="004B7F7B">
        <w:rPr>
          <w:sz w:val="20"/>
          <w:szCs w:val="20"/>
        </w:rPr>
        <w:sym w:font="Greek Old Face C" w:char="F0CF"/>
      </w:r>
      <w:r>
        <w:rPr>
          <w:sz w:val="20"/>
          <w:szCs w:val="20"/>
        </w:rPr>
        <w:t>“</w:t>
      </w:r>
      <w:r w:rsidRPr="004B7F7B">
        <w:rPr>
          <w:sz w:val="20"/>
          <w:szCs w:val="20"/>
        </w:rPr>
        <w:t xml:space="preserve"> </w:t>
      </w:r>
    </w:p>
    <w:p w:rsidR="004B7F7B" w:rsidRPr="004B7F7B" w:rsidRDefault="004B7F7B" w:rsidP="006A305D">
      <w:pPr>
        <w:spacing w:after="240" w:line="120" w:lineRule="atLeast"/>
      </w:pPr>
      <w:r>
        <w:t>Aufgabe von Recht, Religion und Politik kann es auch künftig nur sein, dafür einzutreten, dass alle Menschen diese Chance erhalten. – Dann würden</w:t>
      </w:r>
      <w:r w:rsidR="00D35D6D">
        <w:t xml:space="preserve"> auch im Zeitalter von Automatisierung und Digitalisierung</w:t>
      </w:r>
      <w:r>
        <w:t xml:space="preserve"> Entwicklungen möglich, an die w</w:t>
      </w:r>
      <w:r w:rsidR="00D35D6D">
        <w:t>ir noch gar nicht gedacht haben!</w:t>
      </w:r>
    </w:p>
    <w:p w:rsidR="004B7F7B" w:rsidRDefault="004B7F7B" w:rsidP="006A305D">
      <w:pPr>
        <w:spacing w:after="240" w:line="120" w:lineRule="atLeast"/>
      </w:pPr>
      <w:r>
        <w:rPr>
          <w:i/>
        </w:rPr>
        <w:br w:type="page"/>
      </w:r>
    </w:p>
    <w:p w:rsidR="00030AD3" w:rsidRDefault="00030AD3" w:rsidP="000405DC">
      <w:pPr>
        <w:pStyle w:val="Listenabsatz"/>
      </w:pPr>
    </w:p>
    <w:p w:rsidR="00030AD3" w:rsidRPr="000819F6" w:rsidRDefault="00030AD3" w:rsidP="00590A1A">
      <w:pPr>
        <w:spacing w:after="240" w:line="120" w:lineRule="atLeast"/>
        <w:ind w:left="357"/>
        <w:jc w:val="center"/>
        <w:rPr>
          <w:b/>
          <w:bCs/>
          <w:lang w:val="en-GB"/>
        </w:rPr>
      </w:pPr>
      <w:r w:rsidRPr="000819F6">
        <w:rPr>
          <w:b/>
          <w:bCs/>
          <w:lang w:val="en-GB"/>
        </w:rPr>
        <w:t>Literatur</w:t>
      </w:r>
    </w:p>
    <w:p w:rsidR="00030AD3" w:rsidRPr="000819F6" w:rsidRDefault="00030AD3" w:rsidP="000B4CEA">
      <w:pPr>
        <w:rPr>
          <w:b/>
          <w:lang w:val="en-GB"/>
        </w:rPr>
      </w:pPr>
    </w:p>
    <w:p w:rsidR="00030AD3" w:rsidRPr="00490FA4" w:rsidRDefault="00030AD3" w:rsidP="00590A1A">
      <w:pPr>
        <w:pStyle w:val="Literatur"/>
        <w:rPr>
          <w:sz w:val="20"/>
          <w:szCs w:val="20"/>
        </w:rPr>
      </w:pPr>
      <w:r w:rsidRPr="00490FA4">
        <w:rPr>
          <w:sz w:val="20"/>
          <w:szCs w:val="20"/>
          <w:lang w:val="en-GB"/>
        </w:rPr>
        <w:t xml:space="preserve">Abdel-Samad Hamed 2015: Mohamed. </w:t>
      </w:r>
      <w:r w:rsidRPr="00490FA4">
        <w:rPr>
          <w:sz w:val="20"/>
          <w:szCs w:val="20"/>
        </w:rPr>
        <w:t xml:space="preserve">Eine Abrechnung (München 2015) </w:t>
      </w:r>
    </w:p>
    <w:p w:rsidR="00030AD3" w:rsidRPr="00490FA4" w:rsidRDefault="00030AD3" w:rsidP="009D3C4E">
      <w:pPr>
        <w:pStyle w:val="Literatur"/>
        <w:rPr>
          <w:sz w:val="20"/>
          <w:szCs w:val="20"/>
        </w:rPr>
      </w:pPr>
      <w:r w:rsidRPr="00490FA4">
        <w:rPr>
          <w:sz w:val="20"/>
          <w:szCs w:val="20"/>
        </w:rPr>
        <w:t>Allam Schafik 2005: Von der altägyptischen Frau. Einblicke ins Rechtsleben (vornehmlich für die Zeit 16.-10. Jh. v. u. Z.), in: Barta/Mayer-Maly/Raber 2005, 116-180</w:t>
      </w:r>
    </w:p>
    <w:p w:rsidR="00490FA4" w:rsidRPr="00490FA4" w:rsidRDefault="00490FA4" w:rsidP="00490FA4">
      <w:pPr>
        <w:pStyle w:val="Literatur"/>
        <w:rPr>
          <w:sz w:val="20"/>
          <w:szCs w:val="20"/>
        </w:rPr>
      </w:pPr>
      <w:r w:rsidRPr="00490FA4">
        <w:rPr>
          <w:sz w:val="20"/>
          <w:szCs w:val="20"/>
        </w:rPr>
        <w:t>Baltrusch Ernst 1998: Sparta. Geschichte, Gesellschaft, Kultur (München, 1998)</w:t>
      </w:r>
    </w:p>
    <w:p w:rsidR="00030AD3" w:rsidRPr="00490FA4" w:rsidRDefault="00030AD3" w:rsidP="009D3C4E">
      <w:pPr>
        <w:pStyle w:val="Literatur"/>
        <w:rPr>
          <w:sz w:val="20"/>
          <w:szCs w:val="20"/>
        </w:rPr>
      </w:pPr>
      <w:r w:rsidRPr="00490FA4">
        <w:rPr>
          <w:sz w:val="20"/>
          <w:szCs w:val="20"/>
        </w:rPr>
        <w:t>Barta Heinz 2010a: ‚Graeca non leguntur’? Zu den Ursprüngen des europäischen Rechts im antiken Griechenland' - Perspektiven, Bd. I (Wiesbaden, 2010)</w:t>
      </w:r>
    </w:p>
    <w:p w:rsidR="00030AD3" w:rsidRPr="00490FA4" w:rsidRDefault="00CC56DB" w:rsidP="009D3C4E">
      <w:pPr>
        <w:pStyle w:val="Literatur"/>
        <w:rPr>
          <w:sz w:val="20"/>
          <w:szCs w:val="20"/>
        </w:rPr>
      </w:pPr>
      <w:r w:rsidRPr="00490FA4">
        <w:rPr>
          <w:sz w:val="20"/>
          <w:szCs w:val="20"/>
        </w:rPr>
        <w:t>Barta Heinz 2010b: ‚De mortuis nihil nisi bene. Postmortaler Persönlichskeitschutz in der Antike’, in: FS für M. Binder (Wien, 2010) 45-56</w:t>
      </w:r>
    </w:p>
    <w:p w:rsidR="00030AD3" w:rsidRPr="00490FA4" w:rsidRDefault="00030AD3" w:rsidP="009D3C4E">
      <w:pPr>
        <w:pStyle w:val="Literatur"/>
        <w:rPr>
          <w:sz w:val="20"/>
          <w:szCs w:val="20"/>
        </w:rPr>
      </w:pPr>
      <w:r w:rsidRPr="00490FA4">
        <w:rPr>
          <w:sz w:val="20"/>
          <w:szCs w:val="20"/>
        </w:rPr>
        <w:t>Barta Heinz 2011: ‚Graeca non leguntur’? Zu den Ursprüngen des europäischen Rechts im antiken Griechenland'. Bd. II/1 und II/2: Archaische Grundlagen (Wiesbaden, 2011)</w:t>
      </w:r>
    </w:p>
    <w:p w:rsidR="00030AD3" w:rsidRDefault="00030AD3" w:rsidP="009D3C4E">
      <w:pPr>
        <w:pStyle w:val="Literatur"/>
        <w:rPr>
          <w:sz w:val="20"/>
          <w:szCs w:val="20"/>
        </w:rPr>
      </w:pPr>
      <w:r w:rsidRPr="00490FA4">
        <w:rPr>
          <w:sz w:val="20"/>
          <w:szCs w:val="20"/>
        </w:rPr>
        <w:t>Barta Heinz 2014: ‚Graeca non leguntur’? Zu den Ursprüngen des europäischen Rechts im antiken Griechenland, Bd. III/1: Das griechische Recht in seinem kulturhistorischen Umfeld – Beispiele aus Dichtung, Geschichtsschreibung, Philosophie und (Kautelar)Jurisprudenz (Wiesbaden, 2014)</w:t>
      </w:r>
    </w:p>
    <w:p w:rsidR="00FC195E" w:rsidRDefault="00FC195E" w:rsidP="00FC195E">
      <w:pPr>
        <w:pStyle w:val="Literatur"/>
        <w:jc w:val="left"/>
        <w:rPr>
          <w:sz w:val="20"/>
          <w:szCs w:val="20"/>
        </w:rPr>
      </w:pPr>
      <w:r w:rsidRPr="00FC195E">
        <w:rPr>
          <w:sz w:val="20"/>
          <w:szCs w:val="20"/>
        </w:rPr>
        <w:t xml:space="preserve">Barta Heinz 2014: Text über Solon mit Übersetzung ins Polnische von Katarzyna Nieciecka: </w:t>
      </w:r>
      <w:hyperlink r:id="rId8" w:history="1">
        <w:r w:rsidRPr="00FC195E">
          <w:rPr>
            <w:sz w:val="20"/>
            <w:szCs w:val="20"/>
          </w:rPr>
          <w:t>http://europeanlegalculture.wordpress.com/2014/04/11/solon-ojciec-wspolczesnej-europy/</w:t>
        </w:r>
      </w:hyperlink>
      <w:r w:rsidRPr="00FC195E">
        <w:rPr>
          <w:sz w:val="20"/>
          <w:szCs w:val="20"/>
        </w:rPr>
        <w:t xml:space="preserve"> = Kwartalnik prawa prywatnego XXIII (2014) 557-560</w:t>
      </w:r>
    </w:p>
    <w:p w:rsidR="00EE234B" w:rsidRPr="00EE234B" w:rsidRDefault="00EE234B" w:rsidP="00EE234B">
      <w:pPr>
        <w:pStyle w:val="Literatur"/>
        <w:rPr>
          <w:sz w:val="20"/>
          <w:szCs w:val="20"/>
        </w:rPr>
      </w:pPr>
      <w:r w:rsidRPr="00EE234B">
        <w:rPr>
          <w:sz w:val="20"/>
          <w:szCs w:val="20"/>
        </w:rPr>
        <w:t>Barta Heinz 2016a: Solon – Schöpfer der politischen und rechtlichen Grundwerte Europas: Freiheit, Gleichheit, politische Teilhabe, in: ZIAS 30 (2016) 11-20</w:t>
      </w:r>
    </w:p>
    <w:p w:rsidR="00EE234B" w:rsidRPr="00EE234B" w:rsidRDefault="00EE234B" w:rsidP="00EE234B">
      <w:pPr>
        <w:pStyle w:val="Literatur"/>
        <w:rPr>
          <w:sz w:val="20"/>
          <w:szCs w:val="20"/>
        </w:rPr>
      </w:pPr>
      <w:r w:rsidRPr="00EE234B">
        <w:rPr>
          <w:sz w:val="20"/>
          <w:szCs w:val="20"/>
        </w:rPr>
        <w:t xml:space="preserve">Barta Heinz 2016b: Solon – Schöpfer der politischen und rechtlichen Grundwerte Europas: Freiheit, Gleichheit, politische Teilhabe, in: </w:t>
      </w:r>
      <w:r w:rsidRPr="00EE234B">
        <w:rPr>
          <w:sz w:val="20"/>
          <w:szCs w:val="20"/>
        </w:rPr>
        <w:sym w:font="Greek Old Face C" w:char="F041"/>
      </w:r>
      <w:r w:rsidRPr="00EE234B">
        <w:rPr>
          <w:sz w:val="20"/>
          <w:szCs w:val="20"/>
        </w:rPr>
        <w:sym w:font="Greek Old Face C" w:char="F04B"/>
      </w:r>
      <w:r w:rsidRPr="00EE234B">
        <w:rPr>
          <w:sz w:val="20"/>
          <w:szCs w:val="20"/>
        </w:rPr>
        <w:sym w:font="Greek Old Face C" w:char="F041"/>
      </w:r>
      <w:r w:rsidRPr="00EE234B">
        <w:rPr>
          <w:sz w:val="20"/>
          <w:szCs w:val="20"/>
        </w:rPr>
        <w:sym w:font="Greek Old Face C" w:char="F044"/>
      </w:r>
      <w:r w:rsidRPr="00EE234B">
        <w:rPr>
          <w:sz w:val="20"/>
          <w:szCs w:val="20"/>
        </w:rPr>
        <w:sym w:font="Greek Old Face C" w:char="F048"/>
      </w:r>
      <w:r w:rsidRPr="00EE234B">
        <w:rPr>
          <w:sz w:val="20"/>
          <w:szCs w:val="20"/>
        </w:rPr>
        <w:sym w:font="Greek Old Face C" w:char="F04D"/>
      </w:r>
      <w:r w:rsidRPr="00EE234B">
        <w:rPr>
          <w:sz w:val="20"/>
          <w:szCs w:val="20"/>
        </w:rPr>
        <w:sym w:font="Greek Old Face C" w:char="F049"/>
      </w:r>
      <w:r w:rsidRPr="00EE234B">
        <w:rPr>
          <w:sz w:val="20"/>
          <w:szCs w:val="20"/>
        </w:rPr>
        <w:sym w:font="Greek Old Face C" w:char="F041"/>
      </w:r>
      <w:r w:rsidRPr="00EE234B">
        <w:rPr>
          <w:sz w:val="20"/>
          <w:szCs w:val="20"/>
        </w:rPr>
        <w:t xml:space="preserve"> </w:t>
      </w:r>
      <w:r w:rsidRPr="00EE234B">
        <w:rPr>
          <w:sz w:val="20"/>
          <w:szCs w:val="20"/>
        </w:rPr>
        <w:sym w:font="Greek Old Face C" w:char="F041"/>
      </w:r>
      <w:r w:rsidRPr="00EE234B">
        <w:rPr>
          <w:sz w:val="20"/>
          <w:szCs w:val="20"/>
        </w:rPr>
        <w:sym w:font="Greek Old Face C" w:char="F051"/>
      </w:r>
      <w:r w:rsidRPr="00EE234B">
        <w:rPr>
          <w:sz w:val="20"/>
          <w:szCs w:val="20"/>
        </w:rPr>
        <w:sym w:font="Greek Old Face C" w:char="F048"/>
      </w:r>
      <w:r w:rsidRPr="00EE234B">
        <w:rPr>
          <w:sz w:val="20"/>
          <w:szCs w:val="20"/>
        </w:rPr>
        <w:sym w:font="Greek Old Face C" w:char="F04E"/>
      </w:r>
      <w:r w:rsidRPr="00EE234B">
        <w:rPr>
          <w:sz w:val="20"/>
          <w:szCs w:val="20"/>
        </w:rPr>
        <w:sym w:font="Greek Old Face C" w:char="F057"/>
      </w:r>
      <w:r w:rsidRPr="00EE234B">
        <w:rPr>
          <w:sz w:val="20"/>
          <w:szCs w:val="20"/>
        </w:rPr>
        <w:sym w:font="Greek Old Face C" w:char="F04E"/>
      </w:r>
      <w:r w:rsidRPr="00EE234B">
        <w:rPr>
          <w:sz w:val="20"/>
          <w:szCs w:val="20"/>
        </w:rPr>
        <w:t xml:space="preserve">, </w:t>
      </w:r>
      <w:r w:rsidRPr="00EE234B">
        <w:rPr>
          <w:sz w:val="20"/>
          <w:szCs w:val="20"/>
        </w:rPr>
        <w:sym w:font="Greek Old Face C" w:char="F045"/>
      </w:r>
      <w:r w:rsidRPr="00EE234B">
        <w:rPr>
          <w:sz w:val="20"/>
          <w:szCs w:val="20"/>
        </w:rPr>
        <w:sym w:font="Greek Old Face C" w:char="F050"/>
      </w:r>
      <w:r w:rsidRPr="00EE234B">
        <w:rPr>
          <w:sz w:val="20"/>
          <w:szCs w:val="20"/>
        </w:rPr>
        <w:sym w:font="Greek Old Face C" w:char="F045"/>
      </w:r>
      <w:r w:rsidRPr="00EE234B">
        <w:rPr>
          <w:sz w:val="20"/>
          <w:szCs w:val="20"/>
        </w:rPr>
        <w:sym w:font="Greek Old Face C" w:char="F054"/>
      </w:r>
      <w:r w:rsidRPr="00EE234B">
        <w:rPr>
          <w:sz w:val="20"/>
          <w:szCs w:val="20"/>
        </w:rPr>
        <w:sym w:font="Greek Old Face C" w:char="F048"/>
      </w:r>
      <w:r w:rsidRPr="00EE234B">
        <w:rPr>
          <w:sz w:val="20"/>
          <w:szCs w:val="20"/>
        </w:rPr>
        <w:sym w:font="Greek Old Face C" w:char="F052"/>
      </w:r>
      <w:r w:rsidRPr="00EE234B">
        <w:rPr>
          <w:sz w:val="20"/>
          <w:szCs w:val="20"/>
        </w:rPr>
        <w:sym w:font="Greek Old Face C" w:char="F049"/>
      </w:r>
      <w:r w:rsidRPr="00EE234B">
        <w:rPr>
          <w:sz w:val="20"/>
          <w:szCs w:val="20"/>
        </w:rPr>
        <w:sym w:font="Greek Old Face C" w:char="F053"/>
      </w:r>
      <w:r w:rsidRPr="00EE234B">
        <w:rPr>
          <w:sz w:val="20"/>
          <w:szCs w:val="20"/>
        </w:rPr>
        <w:t xml:space="preserve"> </w:t>
      </w:r>
      <w:r w:rsidRPr="00EE234B">
        <w:rPr>
          <w:sz w:val="20"/>
          <w:szCs w:val="20"/>
        </w:rPr>
        <w:sym w:font="Greek Old Face C" w:char="F054"/>
      </w:r>
      <w:r w:rsidRPr="00EE234B">
        <w:rPr>
          <w:sz w:val="20"/>
          <w:szCs w:val="20"/>
        </w:rPr>
        <w:sym w:font="Greek Old Face C" w:char="F04F"/>
      </w:r>
      <w:r w:rsidRPr="00EE234B">
        <w:rPr>
          <w:sz w:val="20"/>
          <w:szCs w:val="20"/>
        </w:rPr>
        <w:sym w:font="Greek Old Face C" w:char="F055"/>
      </w:r>
      <w:r w:rsidRPr="00EE234B">
        <w:rPr>
          <w:sz w:val="20"/>
          <w:szCs w:val="20"/>
        </w:rPr>
        <w:t xml:space="preserve"> </w:t>
      </w:r>
      <w:r w:rsidRPr="00EE234B">
        <w:rPr>
          <w:sz w:val="20"/>
          <w:szCs w:val="20"/>
        </w:rPr>
        <w:sym w:font="Greek Old Face C" w:char="F04B"/>
      </w:r>
      <w:r w:rsidRPr="00EE234B">
        <w:rPr>
          <w:sz w:val="20"/>
          <w:szCs w:val="20"/>
        </w:rPr>
        <w:sym w:font="Greek Old Face C" w:char="F045"/>
      </w:r>
      <w:r w:rsidRPr="00EE234B">
        <w:rPr>
          <w:sz w:val="20"/>
          <w:szCs w:val="20"/>
        </w:rPr>
        <w:sym w:font="Greek Old Face C" w:char="F04E"/>
      </w:r>
      <w:r w:rsidRPr="00EE234B">
        <w:rPr>
          <w:sz w:val="20"/>
          <w:szCs w:val="20"/>
        </w:rPr>
        <w:sym w:font="Greek Old Face C" w:char="F054"/>
      </w:r>
      <w:r w:rsidRPr="00EE234B">
        <w:rPr>
          <w:sz w:val="20"/>
          <w:szCs w:val="20"/>
        </w:rPr>
        <w:sym w:font="Greek Old Face C" w:char="F052"/>
      </w:r>
      <w:r w:rsidRPr="00EE234B">
        <w:rPr>
          <w:sz w:val="20"/>
          <w:szCs w:val="20"/>
        </w:rPr>
        <w:sym w:font="Greek Old Face C" w:char="F04F"/>
      </w:r>
      <w:r w:rsidRPr="00EE234B">
        <w:rPr>
          <w:sz w:val="20"/>
          <w:szCs w:val="20"/>
        </w:rPr>
        <w:sym w:font="Greek Old Face C" w:char="F055"/>
      </w:r>
      <w:r w:rsidRPr="00EE234B">
        <w:rPr>
          <w:sz w:val="20"/>
          <w:szCs w:val="20"/>
        </w:rPr>
        <w:t xml:space="preserve"> </w:t>
      </w:r>
      <w:r w:rsidRPr="00EE234B">
        <w:rPr>
          <w:sz w:val="20"/>
          <w:szCs w:val="20"/>
        </w:rPr>
        <w:sym w:font="Greek Old Face C" w:char="F045"/>
      </w:r>
      <w:r w:rsidRPr="00EE234B">
        <w:rPr>
          <w:sz w:val="20"/>
          <w:szCs w:val="20"/>
        </w:rPr>
        <w:sym w:font="Greek Old Face C" w:char="F052"/>
      </w:r>
      <w:r w:rsidRPr="00EE234B">
        <w:rPr>
          <w:sz w:val="20"/>
          <w:szCs w:val="20"/>
        </w:rPr>
        <w:sym w:font="Greek Old Face C" w:char="F045"/>
      </w:r>
      <w:r w:rsidRPr="00EE234B">
        <w:rPr>
          <w:sz w:val="20"/>
          <w:szCs w:val="20"/>
        </w:rPr>
        <w:sym w:font="Greek Old Face C" w:char="F055"/>
      </w:r>
      <w:r w:rsidRPr="00EE234B">
        <w:rPr>
          <w:sz w:val="20"/>
          <w:szCs w:val="20"/>
        </w:rPr>
        <w:sym w:font="Greek Old Face C" w:char="F04E"/>
      </w:r>
      <w:r w:rsidRPr="00EE234B">
        <w:rPr>
          <w:sz w:val="20"/>
          <w:szCs w:val="20"/>
        </w:rPr>
        <w:sym w:font="Greek Old Face C" w:char="F048"/>
      </w:r>
      <w:r w:rsidRPr="00EE234B">
        <w:rPr>
          <w:sz w:val="20"/>
          <w:szCs w:val="20"/>
        </w:rPr>
        <w:sym w:font="Greek Old Face C" w:char="F053"/>
      </w:r>
      <w:r w:rsidRPr="00EE234B">
        <w:rPr>
          <w:sz w:val="20"/>
          <w:szCs w:val="20"/>
        </w:rPr>
        <w:t xml:space="preserve"> </w:t>
      </w:r>
      <w:r w:rsidRPr="00EE234B">
        <w:rPr>
          <w:sz w:val="20"/>
          <w:szCs w:val="20"/>
        </w:rPr>
        <w:sym w:font="Greek Old Face C" w:char="F054"/>
      </w:r>
      <w:r w:rsidRPr="00EE234B">
        <w:rPr>
          <w:sz w:val="20"/>
          <w:szCs w:val="20"/>
        </w:rPr>
        <w:sym w:font="Greek Old Face C" w:char="F048"/>
      </w:r>
      <w:r w:rsidRPr="00EE234B">
        <w:rPr>
          <w:sz w:val="20"/>
          <w:szCs w:val="20"/>
        </w:rPr>
        <w:sym w:font="Greek Old Face C" w:char="F053"/>
      </w:r>
      <w:r w:rsidRPr="00EE234B">
        <w:rPr>
          <w:sz w:val="20"/>
          <w:szCs w:val="20"/>
        </w:rPr>
        <w:t xml:space="preserve"> </w:t>
      </w:r>
      <w:r w:rsidRPr="00EE234B">
        <w:rPr>
          <w:sz w:val="20"/>
          <w:szCs w:val="20"/>
        </w:rPr>
        <w:sym w:font="Greek Old Face C" w:char="F049"/>
      </w:r>
      <w:r w:rsidRPr="00EE234B">
        <w:rPr>
          <w:sz w:val="20"/>
          <w:szCs w:val="20"/>
        </w:rPr>
        <w:sym w:font="Greek Old Face C" w:char="F053"/>
      </w:r>
      <w:r w:rsidRPr="00EE234B">
        <w:rPr>
          <w:sz w:val="20"/>
          <w:szCs w:val="20"/>
        </w:rPr>
        <w:sym w:font="Greek Old Face C" w:char="F054"/>
      </w:r>
      <w:r w:rsidRPr="00EE234B">
        <w:rPr>
          <w:sz w:val="20"/>
          <w:szCs w:val="20"/>
        </w:rPr>
        <w:sym w:font="Greek Old Face C" w:char="F04F"/>
      </w:r>
      <w:r w:rsidRPr="00EE234B">
        <w:rPr>
          <w:sz w:val="20"/>
          <w:szCs w:val="20"/>
        </w:rPr>
        <w:sym w:font="Greek Old Face C" w:char="F052"/>
      </w:r>
      <w:r w:rsidRPr="00EE234B">
        <w:rPr>
          <w:sz w:val="20"/>
          <w:szCs w:val="20"/>
        </w:rPr>
        <w:sym w:font="Greek Old Face C" w:char="F049"/>
      </w:r>
      <w:r w:rsidRPr="00EE234B">
        <w:rPr>
          <w:sz w:val="20"/>
          <w:szCs w:val="20"/>
        </w:rPr>
        <w:sym w:font="Greek Old Face C" w:char="F041"/>
      </w:r>
      <w:r w:rsidRPr="00EE234B">
        <w:rPr>
          <w:sz w:val="20"/>
          <w:szCs w:val="20"/>
        </w:rPr>
        <w:sym w:font="Greek Old Face C" w:char="F053"/>
      </w:r>
      <w:r w:rsidRPr="00EE234B">
        <w:rPr>
          <w:sz w:val="20"/>
          <w:szCs w:val="20"/>
        </w:rPr>
        <w:t xml:space="preserve"> </w:t>
      </w:r>
      <w:r w:rsidRPr="00EE234B">
        <w:rPr>
          <w:sz w:val="20"/>
          <w:szCs w:val="20"/>
        </w:rPr>
        <w:sym w:font="Greek Old Face C" w:char="F054"/>
      </w:r>
      <w:r w:rsidRPr="00EE234B">
        <w:rPr>
          <w:sz w:val="20"/>
          <w:szCs w:val="20"/>
        </w:rPr>
        <w:sym w:font="Greek Old Face C" w:char="F04F"/>
      </w:r>
      <w:r w:rsidRPr="00EE234B">
        <w:rPr>
          <w:sz w:val="20"/>
          <w:szCs w:val="20"/>
        </w:rPr>
        <w:sym w:font="Greek Old Face C" w:char="F055"/>
      </w:r>
      <w:r w:rsidRPr="00EE234B">
        <w:rPr>
          <w:sz w:val="20"/>
          <w:szCs w:val="20"/>
        </w:rPr>
        <w:t xml:space="preserve"> </w:t>
      </w:r>
      <w:r w:rsidRPr="00EE234B">
        <w:rPr>
          <w:sz w:val="20"/>
          <w:szCs w:val="20"/>
        </w:rPr>
        <w:sym w:font="Greek Old Face C" w:char="F045"/>
      </w:r>
      <w:r w:rsidRPr="00EE234B">
        <w:rPr>
          <w:sz w:val="20"/>
          <w:szCs w:val="20"/>
        </w:rPr>
        <w:sym w:font="Greek Old Face C" w:char="F04C"/>
      </w:r>
      <w:r w:rsidRPr="00EE234B">
        <w:rPr>
          <w:sz w:val="20"/>
          <w:szCs w:val="20"/>
        </w:rPr>
        <w:sym w:font="Greek Old Face C" w:char="F04C"/>
      </w:r>
      <w:r w:rsidRPr="00EE234B">
        <w:rPr>
          <w:sz w:val="20"/>
          <w:szCs w:val="20"/>
        </w:rPr>
        <w:sym w:font="Greek Old Face C" w:char="F048"/>
      </w:r>
      <w:r w:rsidRPr="00EE234B">
        <w:rPr>
          <w:sz w:val="20"/>
          <w:szCs w:val="20"/>
        </w:rPr>
        <w:sym w:font="Greek Old Face C" w:char="F04E"/>
      </w:r>
      <w:r w:rsidRPr="00EE234B">
        <w:rPr>
          <w:sz w:val="20"/>
          <w:szCs w:val="20"/>
        </w:rPr>
        <w:sym w:font="Greek Old Face C" w:char="F049"/>
      </w:r>
      <w:r w:rsidRPr="00EE234B">
        <w:rPr>
          <w:sz w:val="20"/>
          <w:szCs w:val="20"/>
        </w:rPr>
        <w:sym w:font="Greek Old Face C" w:char="F04B"/>
      </w:r>
      <w:r w:rsidRPr="00EE234B">
        <w:rPr>
          <w:sz w:val="20"/>
          <w:szCs w:val="20"/>
        </w:rPr>
        <w:sym w:font="Greek Old Face C" w:char="F04F"/>
      </w:r>
      <w:r w:rsidRPr="00EE234B">
        <w:rPr>
          <w:sz w:val="20"/>
          <w:szCs w:val="20"/>
        </w:rPr>
        <w:sym w:font="Greek Old Face C" w:char="F055"/>
      </w:r>
      <w:r w:rsidRPr="00EE234B">
        <w:rPr>
          <w:sz w:val="20"/>
          <w:szCs w:val="20"/>
        </w:rPr>
        <w:t xml:space="preserve"> </w:t>
      </w:r>
      <w:r w:rsidRPr="00EE234B">
        <w:rPr>
          <w:sz w:val="20"/>
          <w:szCs w:val="20"/>
        </w:rPr>
        <w:sym w:font="Greek Old Face C" w:char="F044"/>
      </w:r>
      <w:r w:rsidRPr="00EE234B">
        <w:rPr>
          <w:sz w:val="20"/>
          <w:szCs w:val="20"/>
        </w:rPr>
        <w:sym w:font="Greek Old Face C" w:char="F049"/>
      </w:r>
      <w:r w:rsidRPr="00EE234B">
        <w:rPr>
          <w:sz w:val="20"/>
          <w:szCs w:val="20"/>
        </w:rPr>
        <w:sym w:font="Greek Old Face C" w:char="F04B"/>
      </w:r>
      <w:r w:rsidRPr="00EE234B">
        <w:rPr>
          <w:sz w:val="20"/>
          <w:szCs w:val="20"/>
        </w:rPr>
        <w:sym w:font="Greek Old Face C" w:char="F041"/>
      </w:r>
      <w:r w:rsidRPr="00EE234B">
        <w:rPr>
          <w:sz w:val="20"/>
          <w:szCs w:val="20"/>
        </w:rPr>
        <w:sym w:font="Greek Old Face C" w:char="F049"/>
      </w:r>
      <w:r w:rsidRPr="00EE234B">
        <w:rPr>
          <w:sz w:val="20"/>
          <w:szCs w:val="20"/>
        </w:rPr>
        <w:sym w:font="Greek Old Face C" w:char="F04F"/>
      </w:r>
      <w:r w:rsidRPr="00EE234B">
        <w:rPr>
          <w:sz w:val="20"/>
          <w:szCs w:val="20"/>
        </w:rPr>
        <w:sym w:font="Greek Old Face C" w:char="F055"/>
      </w:r>
      <w:r w:rsidRPr="00EE234B">
        <w:rPr>
          <w:sz w:val="20"/>
          <w:szCs w:val="20"/>
        </w:rPr>
        <w:t xml:space="preserve"> 46 (2016) 9-22</w:t>
      </w:r>
    </w:p>
    <w:p w:rsidR="00490FA4" w:rsidRPr="00490FA4" w:rsidRDefault="00490FA4" w:rsidP="00490FA4">
      <w:pPr>
        <w:pStyle w:val="Literatur"/>
        <w:rPr>
          <w:sz w:val="20"/>
          <w:szCs w:val="20"/>
          <w:lang w:val="de-AT"/>
        </w:rPr>
      </w:pPr>
      <w:r w:rsidRPr="00490FA4">
        <w:rPr>
          <w:sz w:val="20"/>
          <w:szCs w:val="20"/>
          <w:lang w:val="de-AT"/>
        </w:rPr>
        <w:t>Barta Heinz 2017: Demokratie als kulturelles Lernen (Innsbruck, 2017)</w:t>
      </w:r>
    </w:p>
    <w:p w:rsidR="00490FA4" w:rsidRPr="00490FA4" w:rsidRDefault="00490FA4" w:rsidP="00490FA4">
      <w:pPr>
        <w:pStyle w:val="Literatur"/>
        <w:rPr>
          <w:sz w:val="20"/>
          <w:szCs w:val="20"/>
          <w:lang w:val="de-AT"/>
        </w:rPr>
      </w:pPr>
      <w:r w:rsidRPr="00490FA4">
        <w:rPr>
          <w:sz w:val="20"/>
          <w:szCs w:val="20"/>
          <w:lang w:val="de-AT"/>
        </w:rPr>
        <w:t>Barta Heinz 2018: Recht, Religion und Gesellschaft in Oswald Spenglers Morphologie der Weltgeschichte, in: Fink/Rollinger (Hg.), Oswald Spenglers Kulturmorphologie. Eine multiperspektivische Annährung (2018) 79-154</w:t>
      </w:r>
    </w:p>
    <w:p w:rsidR="00490FA4" w:rsidRPr="00490FA4" w:rsidRDefault="00490FA4" w:rsidP="00490FA4">
      <w:pPr>
        <w:pStyle w:val="Literatur"/>
        <w:rPr>
          <w:sz w:val="20"/>
          <w:szCs w:val="20"/>
        </w:rPr>
      </w:pPr>
      <w:r w:rsidRPr="00490FA4">
        <w:rPr>
          <w:sz w:val="20"/>
          <w:szCs w:val="20"/>
          <w:lang w:val="de-AT"/>
        </w:rPr>
        <w:t>Barta Heinz 2018: Zur Entstehung v</w:t>
      </w:r>
      <w:r w:rsidR="00920028">
        <w:rPr>
          <w:sz w:val="20"/>
          <w:szCs w:val="20"/>
          <w:lang w:val="de-AT"/>
        </w:rPr>
        <w:t>on Rechtsgefühl und Rechtsbewuß</w:t>
      </w:r>
      <w:r w:rsidRPr="00490FA4">
        <w:rPr>
          <w:sz w:val="20"/>
          <w:szCs w:val="20"/>
          <w:lang w:val="de-AT"/>
        </w:rPr>
        <w:t xml:space="preserve">tsein – </w:t>
      </w:r>
      <w:r w:rsidR="00920028">
        <w:rPr>
          <w:sz w:val="20"/>
          <w:szCs w:val="20"/>
          <w:lang w:val="de-AT"/>
        </w:rPr>
        <w:t>D</w:t>
      </w:r>
      <w:r w:rsidRPr="00490FA4">
        <w:rPr>
          <w:sz w:val="20"/>
          <w:szCs w:val="20"/>
          <w:lang w:val="de-AT"/>
        </w:rPr>
        <w:t>ie goldene Regel als Rechtsprinzip (</w:t>
      </w:r>
      <w:r w:rsidR="00EE234B">
        <w:rPr>
          <w:sz w:val="20"/>
          <w:szCs w:val="20"/>
          <w:lang w:val="de-AT"/>
        </w:rPr>
        <w:t>Vorlesungstext</w:t>
      </w:r>
      <w:r w:rsidRPr="00490FA4">
        <w:rPr>
          <w:sz w:val="20"/>
          <w:szCs w:val="20"/>
          <w:lang w:val="de-AT"/>
        </w:rPr>
        <w:t>, 2018)</w:t>
      </w:r>
    </w:p>
    <w:p w:rsidR="00030AD3" w:rsidRPr="00490FA4" w:rsidRDefault="00030AD3" w:rsidP="009D3C4E">
      <w:pPr>
        <w:pStyle w:val="Literatur"/>
        <w:rPr>
          <w:sz w:val="20"/>
          <w:szCs w:val="20"/>
        </w:rPr>
      </w:pPr>
      <w:r w:rsidRPr="00490FA4">
        <w:rPr>
          <w:sz w:val="20"/>
          <w:szCs w:val="20"/>
        </w:rPr>
        <w:t>Barta Heinz/Mayer-Maly Theo/Raber Fritz (Hg.) 2005: Lebend(ig)e Rechtsgeschichte. Bei</w:t>
      </w:r>
      <w:r w:rsidRPr="00490FA4">
        <w:rPr>
          <w:sz w:val="20"/>
          <w:szCs w:val="20"/>
        </w:rPr>
        <w:softHyphen/>
        <w:t>spie</w:t>
      </w:r>
      <w:r w:rsidRPr="00490FA4">
        <w:rPr>
          <w:sz w:val="20"/>
          <w:szCs w:val="20"/>
        </w:rPr>
        <w:softHyphen/>
        <w:t>le antiker Rechtskulturen: Ägypten, Mesopotamien und Griechenland, Einleitung 5-10 (Wien, 2005)</w:t>
      </w:r>
    </w:p>
    <w:p w:rsidR="00030AD3" w:rsidRPr="00490FA4" w:rsidRDefault="00030AD3" w:rsidP="0095059F">
      <w:pPr>
        <w:pStyle w:val="Literatur"/>
        <w:rPr>
          <w:sz w:val="20"/>
          <w:szCs w:val="20"/>
        </w:rPr>
      </w:pPr>
      <w:r w:rsidRPr="00490FA4">
        <w:rPr>
          <w:sz w:val="20"/>
          <w:szCs w:val="20"/>
        </w:rPr>
        <w:t>Barta Heinz/Lang Martin/Rollinger Robert (Hg.) 2015: Prozeßrecht und Eid. Recht und Rechtsfindung in antiken Kulturen (</w:t>
      </w:r>
      <w:r w:rsidRPr="00490FA4">
        <w:rPr>
          <w:bCs/>
          <w:sz w:val="20"/>
          <w:szCs w:val="20"/>
        </w:rPr>
        <w:t>Teil I</w:t>
      </w:r>
      <w:r w:rsidRPr="00490FA4">
        <w:rPr>
          <w:sz w:val="20"/>
          <w:szCs w:val="20"/>
        </w:rPr>
        <w:t>) (Wiesbaden, 2015)</w:t>
      </w:r>
    </w:p>
    <w:p w:rsidR="00030AD3" w:rsidRPr="00490FA4" w:rsidRDefault="00030AD3" w:rsidP="0095059F">
      <w:pPr>
        <w:pStyle w:val="Literatur"/>
        <w:rPr>
          <w:sz w:val="20"/>
          <w:szCs w:val="20"/>
        </w:rPr>
      </w:pPr>
      <w:r w:rsidRPr="00490FA4">
        <w:rPr>
          <w:sz w:val="20"/>
          <w:szCs w:val="20"/>
        </w:rPr>
        <w:t>Barta Heinz/Rollinger Robert/Lang Martin (Hg.) 2008: Recht und Religion. Menschliche und göttliche Gerechtigkeitsvorstellungen in den antiken Welten (Wiesbaden, 2008)</w:t>
      </w:r>
    </w:p>
    <w:p w:rsidR="00030AD3" w:rsidRPr="00490FA4" w:rsidRDefault="00030AD3" w:rsidP="009D3C4E">
      <w:pPr>
        <w:pStyle w:val="Literatur"/>
        <w:rPr>
          <w:sz w:val="20"/>
          <w:szCs w:val="20"/>
        </w:rPr>
      </w:pPr>
      <w:r w:rsidRPr="00490FA4">
        <w:rPr>
          <w:sz w:val="20"/>
          <w:szCs w:val="20"/>
        </w:rPr>
        <w:t>Bazzi Danielle 2014: Die kulturelle Grenze zwischen Bewusst und Unbewusst. Georges Devereux revisited, in: Werkblatt 2014, Nr. 72, S. 15-43</w:t>
      </w:r>
    </w:p>
    <w:p w:rsidR="00030AD3" w:rsidRPr="00490FA4" w:rsidRDefault="00030AD3" w:rsidP="009D3C4E">
      <w:pPr>
        <w:pStyle w:val="Literatur"/>
        <w:rPr>
          <w:sz w:val="20"/>
          <w:szCs w:val="20"/>
        </w:rPr>
      </w:pPr>
      <w:r w:rsidRPr="00490FA4">
        <w:rPr>
          <w:sz w:val="20"/>
          <w:szCs w:val="20"/>
        </w:rPr>
        <w:t>Berman Harold J. 1995: Die Bildung der westlichen Rechtstradition (Frankfurt am Main, 1995)</w:t>
      </w:r>
    </w:p>
    <w:p w:rsidR="00030AD3" w:rsidRPr="00490FA4" w:rsidRDefault="00030AD3" w:rsidP="00803A23">
      <w:pPr>
        <w:spacing w:before="60"/>
        <w:ind w:left="1134" w:hanging="1134"/>
        <w:jc w:val="both"/>
        <w:rPr>
          <w:sz w:val="20"/>
          <w:szCs w:val="20"/>
          <w:lang w:val="de-DE"/>
        </w:rPr>
      </w:pPr>
      <w:r w:rsidRPr="00490FA4">
        <w:rPr>
          <w:sz w:val="20"/>
          <w:szCs w:val="20"/>
          <w:lang w:val="de-DE"/>
        </w:rPr>
        <w:t>Bruck Eberhard Friedrich 1926/1970: Totenteil und Seelgerät im griechischen Recht. Eine entwicklungsgeschichtliche Untersuchung zum Verhältnis von Recht und Religion mit Beiträgen zur Geschichte des Eigentums und des Erbrechts (München, 1926/1970</w:t>
      </w:r>
      <w:r w:rsidRPr="00490FA4">
        <w:rPr>
          <w:sz w:val="20"/>
          <w:szCs w:val="20"/>
          <w:vertAlign w:val="superscript"/>
          <w:lang w:val="de-DE"/>
        </w:rPr>
        <w:t>2</w:t>
      </w:r>
      <w:r w:rsidRPr="00490FA4">
        <w:rPr>
          <w:sz w:val="20"/>
          <w:szCs w:val="20"/>
          <w:lang w:val="de-DE"/>
        </w:rPr>
        <w:t>)</w:t>
      </w:r>
    </w:p>
    <w:p w:rsidR="00D55CF8" w:rsidRPr="00490FA4" w:rsidRDefault="00D55CF8" w:rsidP="00803A23">
      <w:pPr>
        <w:spacing w:before="60"/>
        <w:ind w:left="1134" w:hanging="1134"/>
        <w:jc w:val="both"/>
        <w:rPr>
          <w:sz w:val="20"/>
          <w:szCs w:val="20"/>
          <w:lang w:val="de-DE"/>
        </w:rPr>
      </w:pPr>
      <w:r w:rsidRPr="00490FA4">
        <w:rPr>
          <w:sz w:val="20"/>
          <w:szCs w:val="20"/>
          <w:lang w:val="de-DE"/>
        </w:rPr>
        <w:t xml:space="preserve">Burckhardt Jacob 1988: Die Kultur der Renaissance in Italien. Ein Versuch (Stuttgart, 1988) </w:t>
      </w:r>
    </w:p>
    <w:p w:rsidR="00490FA4" w:rsidRPr="00490FA4" w:rsidRDefault="00490FA4" w:rsidP="00490FA4">
      <w:pPr>
        <w:pStyle w:val="Literatur"/>
        <w:rPr>
          <w:sz w:val="20"/>
          <w:szCs w:val="20"/>
        </w:rPr>
      </w:pPr>
      <w:r w:rsidRPr="00490FA4">
        <w:rPr>
          <w:sz w:val="20"/>
          <w:szCs w:val="20"/>
        </w:rPr>
        <w:t>Clauss Manfred 1983: Sparta. Eine Einführung in seine Geschichte und Zivilisation (München, 1983)</w:t>
      </w:r>
    </w:p>
    <w:p w:rsidR="00030AD3" w:rsidRPr="00490FA4" w:rsidRDefault="00030AD3" w:rsidP="00803A23">
      <w:pPr>
        <w:spacing w:before="60"/>
        <w:ind w:left="1134" w:hanging="1134"/>
        <w:jc w:val="both"/>
        <w:rPr>
          <w:sz w:val="20"/>
          <w:szCs w:val="20"/>
          <w:lang w:val="de-DE"/>
        </w:rPr>
      </w:pPr>
      <w:r w:rsidRPr="00490FA4">
        <w:rPr>
          <w:sz w:val="20"/>
          <w:szCs w:val="20"/>
          <w:lang w:val="de-DE"/>
        </w:rPr>
        <w:t xml:space="preserve">Devereux George 1978: Ethnopsychoanalyse. Die komplementaristische Methode in den Wissenschaften von Menschen (Frankfurt am Main, 1978) </w:t>
      </w:r>
    </w:p>
    <w:p w:rsidR="00030AD3" w:rsidRPr="00490FA4" w:rsidRDefault="00030AD3" w:rsidP="00803A23">
      <w:pPr>
        <w:spacing w:before="60"/>
        <w:ind w:left="1134" w:hanging="1134"/>
        <w:jc w:val="both"/>
        <w:rPr>
          <w:sz w:val="20"/>
          <w:szCs w:val="20"/>
        </w:rPr>
      </w:pPr>
      <w:r w:rsidRPr="00490FA4">
        <w:rPr>
          <w:sz w:val="20"/>
          <w:szCs w:val="20"/>
        </w:rPr>
        <w:t>Dülmen Richard van (Hg.) 2001: Entdeckung des ICH. Die Geschichte der Individualisierung vom Mittelalter bis zur Gegenwart (Köln, 2001)</w:t>
      </w:r>
    </w:p>
    <w:p w:rsidR="00CC56DB" w:rsidRDefault="00CC56DB" w:rsidP="00803A23">
      <w:pPr>
        <w:spacing w:before="60"/>
        <w:ind w:left="1134" w:hanging="1134"/>
        <w:jc w:val="both"/>
        <w:rPr>
          <w:sz w:val="20"/>
          <w:szCs w:val="20"/>
        </w:rPr>
      </w:pPr>
      <w:r w:rsidRPr="00490FA4">
        <w:rPr>
          <w:sz w:val="20"/>
          <w:szCs w:val="20"/>
        </w:rPr>
        <w:t>Duve Thomas 2012: Von der Europäischen Rechtsgeschichte zu einer Rechtsgeschichte Eu-ropas in globalhistorischer Perspektive, in: Rg 20 (2012) 18-71</w:t>
      </w:r>
    </w:p>
    <w:p w:rsidR="002318CF" w:rsidRPr="00490FA4" w:rsidRDefault="002318CF" w:rsidP="00803A23">
      <w:pPr>
        <w:spacing w:before="60"/>
        <w:ind w:left="1134" w:hanging="1134"/>
        <w:jc w:val="both"/>
        <w:rPr>
          <w:sz w:val="20"/>
          <w:szCs w:val="20"/>
        </w:rPr>
      </w:pPr>
      <w:r>
        <w:rPr>
          <w:sz w:val="20"/>
          <w:szCs w:val="20"/>
        </w:rPr>
        <w:t>Goldzieher Ignaz 1963: Vorlesungen über den Islam (Darmstadt 1963; Nachdruck der 2. Auflage, Heidelberg 1925)</w:t>
      </w:r>
    </w:p>
    <w:p w:rsidR="00030AD3" w:rsidRPr="00490FA4" w:rsidRDefault="00030AD3" w:rsidP="00803A23">
      <w:pPr>
        <w:spacing w:before="60"/>
        <w:ind w:left="1134" w:hanging="1134"/>
        <w:jc w:val="both"/>
        <w:rPr>
          <w:sz w:val="20"/>
          <w:szCs w:val="20"/>
          <w:lang w:val="de-DE"/>
        </w:rPr>
      </w:pPr>
      <w:r w:rsidRPr="00490FA4">
        <w:rPr>
          <w:sz w:val="20"/>
          <w:szCs w:val="20"/>
          <w:lang w:val="de-DE"/>
        </w:rPr>
        <w:lastRenderedPageBreak/>
        <w:t>Hirzel Rudolf 1914: Die Person. Begriff und Name derselben im Altertum, in: Sitzungsberichte der Königlich Bayerischen Akademie der Wissenschaften, Philosophisch-philologische und historische Klasse, Jg. 1914, 10. Abhandlung. Vorgelegt am 5. Dezember 1914 (München, 1914) 1-54</w:t>
      </w:r>
    </w:p>
    <w:p w:rsidR="00803BD0" w:rsidRPr="00803BD0" w:rsidRDefault="00803BD0" w:rsidP="00803BD0">
      <w:pPr>
        <w:spacing w:before="60"/>
        <w:ind w:left="1134" w:hanging="1134"/>
        <w:jc w:val="both"/>
        <w:rPr>
          <w:sz w:val="20"/>
          <w:szCs w:val="20"/>
          <w:lang w:val="de-DE"/>
        </w:rPr>
      </w:pPr>
      <w:r w:rsidRPr="00803BD0">
        <w:rPr>
          <w:sz w:val="20"/>
          <w:szCs w:val="20"/>
          <w:lang w:val="de-DE"/>
        </w:rPr>
        <w:t>Horkheimer Max 1947/1985: Zur Kritik der instrumentellen Vernunft. Aus den Vorträgen und Aufzeichnungen seit Kriegsende. Hg. von A. Schmidt (</w:t>
      </w:r>
      <w:bookmarkStart w:id="4" w:name="OLE_LINK45"/>
      <w:bookmarkStart w:id="5" w:name="OLE_LINK46"/>
      <w:r w:rsidRPr="00803BD0">
        <w:rPr>
          <w:sz w:val="20"/>
          <w:szCs w:val="20"/>
          <w:lang w:val="de-DE"/>
        </w:rPr>
        <w:t>New York, 1947; Frankfurt am Main, 1985</w:t>
      </w:r>
      <w:bookmarkEnd w:id="4"/>
      <w:bookmarkEnd w:id="5"/>
      <w:r w:rsidRPr="00803BD0">
        <w:rPr>
          <w:sz w:val="20"/>
          <w:szCs w:val="20"/>
          <w:lang w:val="de-DE"/>
        </w:rPr>
        <w:t>)</w:t>
      </w:r>
    </w:p>
    <w:p w:rsidR="00030AD3" w:rsidRPr="00490FA4" w:rsidRDefault="00030AD3" w:rsidP="005C695A">
      <w:pPr>
        <w:spacing w:before="60"/>
        <w:ind w:left="1134" w:hanging="1134"/>
        <w:jc w:val="both"/>
        <w:rPr>
          <w:sz w:val="20"/>
          <w:szCs w:val="20"/>
          <w:lang w:val="de-DE"/>
        </w:rPr>
      </w:pPr>
      <w:r w:rsidRPr="00490FA4">
        <w:rPr>
          <w:sz w:val="20"/>
          <w:szCs w:val="20"/>
          <w:lang w:val="de-DE"/>
        </w:rPr>
        <w:t>Horkheimer Max 1947/1985b: Aufstieg und Niedergang des Individuums, in: Horkheimer, Zur Kritik der instrumentellen Vernunft (1947/1985) 124-152</w:t>
      </w:r>
    </w:p>
    <w:p w:rsidR="00030AD3" w:rsidRPr="00490FA4" w:rsidRDefault="00030AD3" w:rsidP="00590A1A">
      <w:pPr>
        <w:pStyle w:val="Literatur"/>
        <w:rPr>
          <w:sz w:val="20"/>
          <w:szCs w:val="20"/>
        </w:rPr>
      </w:pPr>
      <w:r w:rsidRPr="00490FA4">
        <w:rPr>
          <w:sz w:val="20"/>
          <w:szCs w:val="20"/>
        </w:rPr>
        <w:t>Hunger Herbert 1965: Reich der neuen Mitte. Der christliche Geist der byzantinischen Kultur (Graz/Wien/Köln, 1965)</w:t>
      </w:r>
    </w:p>
    <w:p w:rsidR="00030AD3" w:rsidRPr="00490FA4" w:rsidRDefault="00030AD3" w:rsidP="00590A1A">
      <w:pPr>
        <w:pStyle w:val="Literatur"/>
        <w:rPr>
          <w:sz w:val="20"/>
          <w:szCs w:val="20"/>
          <w:lang w:val="de-AT"/>
        </w:rPr>
      </w:pPr>
      <w:r w:rsidRPr="00490FA4">
        <w:rPr>
          <w:sz w:val="20"/>
          <w:szCs w:val="20"/>
          <w:lang w:val="de-AT"/>
        </w:rPr>
        <w:t>Huntington Samuel P. 1996/2002: Kampf der Kulturen. Die Neugestaltung der Weltpolitik im 21. Jahrhundert (München, 2002</w:t>
      </w:r>
      <w:r w:rsidRPr="00490FA4">
        <w:rPr>
          <w:sz w:val="20"/>
          <w:szCs w:val="20"/>
          <w:vertAlign w:val="superscript"/>
          <w:lang w:val="de-AT"/>
        </w:rPr>
        <w:t>8</w:t>
      </w:r>
      <w:r w:rsidRPr="00490FA4">
        <w:rPr>
          <w:sz w:val="20"/>
          <w:szCs w:val="20"/>
          <w:lang w:val="de-AT"/>
        </w:rPr>
        <w:t>)</w:t>
      </w:r>
    </w:p>
    <w:p w:rsidR="00030AD3" w:rsidRPr="00490FA4" w:rsidRDefault="00030AD3" w:rsidP="00803A23">
      <w:pPr>
        <w:spacing w:before="60"/>
        <w:ind w:left="1134" w:hanging="1134"/>
        <w:jc w:val="both"/>
        <w:rPr>
          <w:sz w:val="20"/>
          <w:szCs w:val="20"/>
          <w:lang w:val="de-DE"/>
        </w:rPr>
      </w:pPr>
      <w:r w:rsidRPr="00490FA4">
        <w:rPr>
          <w:sz w:val="20"/>
          <w:szCs w:val="20"/>
          <w:lang w:val="de-DE"/>
        </w:rPr>
        <w:t>Illouz Eva 2012/2013: Warum Liebe weh tut. Eine soziologische Erklärung (Berlin, 2012/2013</w:t>
      </w:r>
      <w:r w:rsidRPr="00490FA4">
        <w:rPr>
          <w:sz w:val="20"/>
          <w:szCs w:val="20"/>
          <w:vertAlign w:val="superscript"/>
          <w:lang w:val="de-DE"/>
        </w:rPr>
        <w:t>2</w:t>
      </w:r>
      <w:r w:rsidRPr="00490FA4">
        <w:rPr>
          <w:sz w:val="20"/>
          <w:szCs w:val="20"/>
          <w:lang w:val="de-DE"/>
        </w:rPr>
        <w:t>)</w:t>
      </w:r>
    </w:p>
    <w:p w:rsidR="00030AD3" w:rsidRPr="00490FA4" w:rsidRDefault="00030AD3" w:rsidP="00803A23">
      <w:pPr>
        <w:spacing w:before="60"/>
        <w:ind w:left="1134" w:hanging="1134"/>
        <w:jc w:val="both"/>
        <w:rPr>
          <w:sz w:val="20"/>
          <w:szCs w:val="20"/>
          <w:lang w:val="de-DE"/>
        </w:rPr>
      </w:pPr>
      <w:r w:rsidRPr="00490FA4">
        <w:rPr>
          <w:sz w:val="20"/>
          <w:szCs w:val="20"/>
          <w:lang w:val="de-DE"/>
        </w:rPr>
        <w:t>Illouz Eva 2015: Israel. Soziologische Essays. Aus dem Englischen von Michael Adrian (Berlin, 2015)</w:t>
      </w:r>
    </w:p>
    <w:p w:rsidR="00037027" w:rsidRPr="00490FA4" w:rsidRDefault="00037027" w:rsidP="00037027">
      <w:pPr>
        <w:pStyle w:val="Literatur"/>
        <w:rPr>
          <w:sz w:val="20"/>
          <w:szCs w:val="20"/>
        </w:rPr>
      </w:pPr>
      <w:r w:rsidRPr="00490FA4">
        <w:rPr>
          <w:sz w:val="20"/>
          <w:szCs w:val="20"/>
        </w:rPr>
        <w:t xml:space="preserve">Jaeger Werner, Paideia. Die Formung des griechischen Menschen Bd. </w:t>
      </w:r>
      <w:r w:rsidRPr="00490FA4">
        <w:rPr>
          <w:sz w:val="20"/>
          <w:szCs w:val="20"/>
          <w:lang w:val="de-AT"/>
        </w:rPr>
        <w:t>I (Berlin/Leipzig, 1934/1959</w:t>
      </w:r>
      <w:r w:rsidRPr="00490FA4">
        <w:rPr>
          <w:sz w:val="20"/>
          <w:szCs w:val="20"/>
          <w:vertAlign w:val="superscript"/>
          <w:lang w:val="de-AT"/>
        </w:rPr>
        <w:t>4</w:t>
      </w:r>
      <w:r w:rsidRPr="00490FA4">
        <w:rPr>
          <w:sz w:val="20"/>
          <w:szCs w:val="20"/>
          <w:lang w:val="de-AT"/>
        </w:rPr>
        <w:t xml:space="preserve">), Bd. </w:t>
      </w:r>
      <w:r w:rsidRPr="00490FA4">
        <w:rPr>
          <w:sz w:val="20"/>
          <w:szCs w:val="20"/>
        </w:rPr>
        <w:t>II (Berlin, 1944/1959</w:t>
      </w:r>
      <w:r w:rsidRPr="00490FA4">
        <w:rPr>
          <w:sz w:val="20"/>
          <w:szCs w:val="20"/>
          <w:vertAlign w:val="superscript"/>
        </w:rPr>
        <w:t>3</w:t>
      </w:r>
      <w:r w:rsidRPr="00490FA4">
        <w:rPr>
          <w:sz w:val="20"/>
          <w:szCs w:val="20"/>
        </w:rPr>
        <w:t>), und III (Berlin, 1947/1959</w:t>
      </w:r>
      <w:r w:rsidRPr="00490FA4">
        <w:rPr>
          <w:sz w:val="20"/>
          <w:szCs w:val="20"/>
          <w:vertAlign w:val="superscript"/>
        </w:rPr>
        <w:t>3</w:t>
      </w:r>
      <w:r w:rsidRPr="00490FA4">
        <w:rPr>
          <w:sz w:val="20"/>
          <w:szCs w:val="20"/>
        </w:rPr>
        <w:t>)</w:t>
      </w:r>
    </w:p>
    <w:p w:rsidR="00030AD3" w:rsidRDefault="00030AD3" w:rsidP="00803A23">
      <w:pPr>
        <w:spacing w:before="60"/>
        <w:ind w:left="1134" w:hanging="1134"/>
        <w:jc w:val="both"/>
        <w:rPr>
          <w:sz w:val="20"/>
          <w:szCs w:val="20"/>
          <w:lang w:val="de-DE"/>
        </w:rPr>
      </w:pPr>
      <w:r w:rsidRPr="00490FA4">
        <w:rPr>
          <w:sz w:val="20"/>
          <w:szCs w:val="20"/>
          <w:lang w:val="de-DE"/>
        </w:rPr>
        <w:t>Jaeger Werner 1963: Das frühe Christentum und die griechische Bildung (Berlin, 1963)</w:t>
      </w:r>
    </w:p>
    <w:p w:rsidR="00EE234B" w:rsidRPr="00EE234B" w:rsidRDefault="00EE234B" w:rsidP="00EE234B">
      <w:pPr>
        <w:spacing w:before="60"/>
        <w:ind w:left="1134" w:hanging="1134"/>
        <w:jc w:val="both"/>
        <w:rPr>
          <w:sz w:val="20"/>
          <w:szCs w:val="20"/>
          <w:lang w:val="de-DE"/>
        </w:rPr>
      </w:pPr>
      <w:r w:rsidRPr="00EE234B">
        <w:rPr>
          <w:sz w:val="20"/>
          <w:szCs w:val="20"/>
          <w:lang w:val="de-DE"/>
        </w:rPr>
        <w:t>Kaser Max/Knütel Rolf 2003: Römisches Privatrecht (München, 2003</w:t>
      </w:r>
      <w:r w:rsidRPr="00EE234B">
        <w:rPr>
          <w:sz w:val="20"/>
          <w:szCs w:val="20"/>
          <w:vertAlign w:val="superscript"/>
          <w:lang w:val="de-DE"/>
        </w:rPr>
        <w:t>17</w:t>
      </w:r>
      <w:r w:rsidRPr="00EE234B">
        <w:rPr>
          <w:sz w:val="20"/>
          <w:szCs w:val="20"/>
          <w:lang w:val="de-DE"/>
        </w:rPr>
        <w:t xml:space="preserve"> und 2008</w:t>
      </w:r>
      <w:r w:rsidRPr="00EE234B">
        <w:rPr>
          <w:sz w:val="20"/>
          <w:szCs w:val="20"/>
          <w:vertAlign w:val="superscript"/>
          <w:lang w:val="de-DE"/>
        </w:rPr>
        <w:t>19</w:t>
      </w:r>
      <w:r w:rsidRPr="00EE234B">
        <w:rPr>
          <w:sz w:val="20"/>
          <w:szCs w:val="20"/>
          <w:lang w:val="de-DE"/>
        </w:rPr>
        <w:t>)</w:t>
      </w:r>
    </w:p>
    <w:p w:rsidR="00030AD3" w:rsidRPr="00490FA4" w:rsidRDefault="00030AD3" w:rsidP="00803A23">
      <w:pPr>
        <w:spacing w:before="60"/>
        <w:ind w:left="1134" w:hanging="1134"/>
        <w:jc w:val="both"/>
        <w:rPr>
          <w:sz w:val="20"/>
          <w:szCs w:val="20"/>
          <w:lang w:val="de-DE"/>
        </w:rPr>
      </w:pPr>
      <w:r w:rsidRPr="00490FA4">
        <w:rPr>
          <w:sz w:val="20"/>
          <w:szCs w:val="20"/>
          <w:lang w:val="de-DE"/>
        </w:rPr>
        <w:t>König René 1968/1972: Soziale Normen, in: W. Bernsdorf (Hg.), Wörterbuch der Soziologie 3 (Frankfurt am Main, 1968/1972) 734-739</w:t>
      </w:r>
    </w:p>
    <w:p w:rsidR="00030AD3" w:rsidRDefault="00030AD3" w:rsidP="00803A23">
      <w:pPr>
        <w:spacing w:before="60"/>
        <w:ind w:left="1134" w:hanging="1134"/>
        <w:jc w:val="both"/>
        <w:rPr>
          <w:sz w:val="20"/>
          <w:szCs w:val="20"/>
          <w:lang w:val="de-DE"/>
        </w:rPr>
      </w:pPr>
      <w:r w:rsidRPr="00490FA4">
        <w:rPr>
          <w:sz w:val="20"/>
          <w:szCs w:val="20"/>
          <w:lang w:val="de-DE"/>
        </w:rPr>
        <w:t>König René 1975: Das Recht im Zusammenhang der sozialen Normsysteme‘, in: K. Lüdersen/F. Sack (Hg.), Seminar: Abweichendes Verhalten I. Die selektiven Normen der Gesellschaft (Frankfurt am Main, 1975) 186-207</w:t>
      </w:r>
    </w:p>
    <w:p w:rsidR="00490FA4" w:rsidRPr="00490FA4" w:rsidRDefault="00490FA4" w:rsidP="00803A23">
      <w:pPr>
        <w:spacing w:before="60"/>
        <w:ind w:left="1134" w:hanging="1134"/>
        <w:jc w:val="both"/>
        <w:rPr>
          <w:sz w:val="20"/>
          <w:szCs w:val="20"/>
          <w:lang w:val="de-DE"/>
        </w:rPr>
      </w:pPr>
      <w:r>
        <w:rPr>
          <w:sz w:val="20"/>
          <w:szCs w:val="20"/>
          <w:lang w:val="de-DE"/>
        </w:rPr>
        <w:t>Lampe Ernst-Joachim (Hg.) 1997: Zur Entwicklung von Rechtsbewusstsein (Frankfurt am Main, 1997)</w:t>
      </w:r>
    </w:p>
    <w:p w:rsidR="00030AD3" w:rsidRPr="00490FA4" w:rsidRDefault="00030AD3" w:rsidP="009B242F">
      <w:pPr>
        <w:pStyle w:val="Literatur"/>
        <w:rPr>
          <w:sz w:val="20"/>
          <w:szCs w:val="20"/>
        </w:rPr>
      </w:pPr>
      <w:r w:rsidRPr="00490FA4">
        <w:rPr>
          <w:sz w:val="20"/>
          <w:szCs w:val="20"/>
        </w:rPr>
        <w:t>Lang Martin/Barta Heinz/Rollinger Robert (Hg.) 2010: Staatsverträge, Völkerrecht und Diplomatie im Alten Orient und in der griechisch-römischen Antike (Wiesbaden, 2010)</w:t>
      </w:r>
    </w:p>
    <w:p w:rsidR="00030AD3" w:rsidRPr="00490FA4" w:rsidRDefault="00030AD3" w:rsidP="009D3C4E">
      <w:pPr>
        <w:pStyle w:val="Literatur"/>
        <w:rPr>
          <w:sz w:val="20"/>
          <w:szCs w:val="20"/>
        </w:rPr>
      </w:pPr>
      <w:r w:rsidRPr="00490FA4">
        <w:rPr>
          <w:sz w:val="20"/>
          <w:szCs w:val="20"/>
        </w:rPr>
        <w:t>Lippert Sandra 2008: Einführung in die altägyptische Rechtsgeschichte (Berlin, 2008)</w:t>
      </w:r>
    </w:p>
    <w:p w:rsidR="00030AD3" w:rsidRPr="00490FA4" w:rsidRDefault="00030AD3" w:rsidP="008D0F9F">
      <w:pPr>
        <w:pStyle w:val="Literatur"/>
        <w:rPr>
          <w:sz w:val="20"/>
          <w:szCs w:val="20"/>
          <w:lang w:val="en-GB"/>
        </w:rPr>
      </w:pPr>
      <w:r w:rsidRPr="00490FA4">
        <w:rPr>
          <w:sz w:val="20"/>
          <w:szCs w:val="20"/>
          <w:lang w:val="en-GB"/>
        </w:rPr>
        <w:t>Malinowski Bronislaw 1922: Argonauts of the Western pacific. An Account of Native Enterprise and Adventure in the Archipelagoes of Melanesian New Guinea (London, 1922; dt., Frankfurt am Main, 1979, hg. von F. Kramer)</w:t>
      </w:r>
    </w:p>
    <w:p w:rsidR="00030AD3" w:rsidRPr="00490FA4" w:rsidRDefault="00030AD3" w:rsidP="008D0F9F">
      <w:pPr>
        <w:pStyle w:val="Literatur"/>
        <w:rPr>
          <w:sz w:val="20"/>
          <w:szCs w:val="20"/>
        </w:rPr>
      </w:pPr>
      <w:r w:rsidRPr="00490FA4">
        <w:rPr>
          <w:sz w:val="20"/>
          <w:szCs w:val="20"/>
        </w:rPr>
        <w:t>Mauss Marcel 1968/1990: Die Gabe. Form und Funktion des Ausstauschs in archaischen Gesellschaften. Mit einem Vorwort von E. E. Evans-Pritchard (Paris, 1950; dt. Frankfurt am Main, 1968/1990)</w:t>
      </w:r>
    </w:p>
    <w:p w:rsidR="00030AD3" w:rsidRPr="00490FA4" w:rsidRDefault="00030AD3" w:rsidP="00803A23">
      <w:pPr>
        <w:spacing w:before="60"/>
        <w:ind w:left="1134" w:hanging="1134"/>
        <w:jc w:val="both"/>
        <w:rPr>
          <w:sz w:val="20"/>
          <w:szCs w:val="20"/>
          <w:lang w:val="de-DE"/>
        </w:rPr>
      </w:pPr>
      <w:r w:rsidRPr="00490FA4">
        <w:rPr>
          <w:sz w:val="20"/>
          <w:szCs w:val="20"/>
          <w:lang w:val="de-DE"/>
        </w:rPr>
        <w:t>Mayer- Maly Theo 2005: Rechtsgeschichte als Weg zur Rechtserkenntnis. ‚Vom Lebenswert der Rechtsgeschichte. Eine Vortragsskizze, in: Barta/Mayer-Maly/Raber 2005, 12-15</w:t>
      </w:r>
    </w:p>
    <w:p w:rsidR="00030AD3" w:rsidRPr="00490FA4" w:rsidRDefault="00030AD3" w:rsidP="00803A23">
      <w:pPr>
        <w:spacing w:before="60"/>
        <w:ind w:left="1134" w:hanging="1134"/>
        <w:jc w:val="both"/>
        <w:rPr>
          <w:sz w:val="20"/>
          <w:szCs w:val="20"/>
          <w:lang w:val="de-DE"/>
        </w:rPr>
      </w:pPr>
      <w:r w:rsidRPr="00490FA4">
        <w:rPr>
          <w:sz w:val="20"/>
          <w:szCs w:val="20"/>
          <w:lang w:val="de-DE"/>
        </w:rPr>
        <w:t>Niedenzu Heinz-Jürgen 2012: Soziogenese der Normativität. Zur Emergenz eines neuen Modus der Sozialorganisation (Weilerswist, 2012)</w:t>
      </w:r>
    </w:p>
    <w:p w:rsidR="00030AD3" w:rsidRPr="00490FA4" w:rsidRDefault="00030AD3" w:rsidP="00803A23">
      <w:pPr>
        <w:spacing w:before="60"/>
        <w:ind w:left="1134" w:hanging="1134"/>
        <w:jc w:val="both"/>
        <w:rPr>
          <w:sz w:val="20"/>
          <w:szCs w:val="20"/>
        </w:rPr>
      </w:pPr>
      <w:r w:rsidRPr="00490FA4">
        <w:rPr>
          <w:sz w:val="20"/>
          <w:szCs w:val="20"/>
        </w:rPr>
        <w:t>Rollinger Robert/Barta Heinz/Lang Martin (Hg.) 2007: Rechtsgeschichte und Interkulturalität. Zum Verhältnis des östlichen Mittelmeerraums und ‚Europas’ im Altertum, ‚Einleitenden Bemerkungen’ VII-XI (Wiesbaden, 2007)</w:t>
      </w:r>
    </w:p>
    <w:p w:rsidR="00030AD3" w:rsidRDefault="00030AD3" w:rsidP="009B242F">
      <w:pPr>
        <w:pStyle w:val="Literatur"/>
        <w:rPr>
          <w:sz w:val="20"/>
          <w:szCs w:val="20"/>
        </w:rPr>
      </w:pPr>
      <w:r w:rsidRPr="00490FA4">
        <w:rPr>
          <w:sz w:val="20"/>
          <w:szCs w:val="20"/>
        </w:rPr>
        <w:t>Rollinger Robert/Lang Martin/Barta Heinz (Hg.) 2012: Strafe und Strafrecht in den antiken Welten. Unter Berücksichtigung von Todesstrafe, Hinrichtung und peinlicher Befragung (Wiesbaden, 2012)</w:t>
      </w:r>
    </w:p>
    <w:p w:rsidR="002318CF" w:rsidRPr="00490FA4" w:rsidRDefault="002318CF" w:rsidP="009B242F">
      <w:pPr>
        <w:pStyle w:val="Literatur"/>
        <w:rPr>
          <w:sz w:val="20"/>
          <w:szCs w:val="20"/>
        </w:rPr>
      </w:pPr>
      <w:r>
        <w:rPr>
          <w:sz w:val="20"/>
          <w:szCs w:val="20"/>
        </w:rPr>
        <w:t>Schadewaldt Wolfgang 1975: Der Gott von Delphi und die Humanitätsidee (Frankfurt am Main, 1975)</w:t>
      </w:r>
    </w:p>
    <w:p w:rsidR="00030AD3" w:rsidRPr="00490FA4" w:rsidRDefault="00030AD3" w:rsidP="00803A23">
      <w:pPr>
        <w:spacing w:before="60"/>
        <w:ind w:left="1134" w:hanging="1134"/>
        <w:jc w:val="both"/>
        <w:rPr>
          <w:sz w:val="20"/>
          <w:szCs w:val="20"/>
        </w:rPr>
      </w:pPr>
      <w:r w:rsidRPr="00490FA4">
        <w:rPr>
          <w:sz w:val="20"/>
          <w:szCs w:val="20"/>
        </w:rPr>
        <w:t>Seidl Erwin 1939/1957: Einführung in die ägyptische Rechtsgeschichte bis zum Ende des Neuen Reiches (Glückstadt/Hamburg/New York, 1939/1957</w:t>
      </w:r>
      <w:r w:rsidRPr="00490FA4">
        <w:rPr>
          <w:sz w:val="20"/>
          <w:szCs w:val="20"/>
          <w:vertAlign w:val="superscript"/>
        </w:rPr>
        <w:t>3</w:t>
      </w:r>
      <w:r w:rsidRPr="00490FA4">
        <w:rPr>
          <w:sz w:val="20"/>
          <w:szCs w:val="20"/>
        </w:rPr>
        <w:t>)</w:t>
      </w:r>
    </w:p>
    <w:p w:rsidR="00030AD3" w:rsidRPr="00490FA4" w:rsidRDefault="00030AD3" w:rsidP="00803A23">
      <w:pPr>
        <w:spacing w:before="60"/>
        <w:ind w:left="1134" w:hanging="1134"/>
        <w:jc w:val="both"/>
        <w:rPr>
          <w:sz w:val="20"/>
          <w:szCs w:val="20"/>
        </w:rPr>
      </w:pPr>
      <w:r w:rsidRPr="00490FA4">
        <w:rPr>
          <w:sz w:val="20"/>
          <w:szCs w:val="20"/>
        </w:rPr>
        <w:t>Seidl Erwin 1968: Ägyptische Rechtsgeschichte der Saiten- und Perserzeit (Glücksstadt, 1968</w:t>
      </w:r>
      <w:r w:rsidRPr="00490FA4">
        <w:rPr>
          <w:sz w:val="20"/>
          <w:szCs w:val="20"/>
          <w:vertAlign w:val="superscript"/>
        </w:rPr>
        <w:t>2</w:t>
      </w:r>
      <w:r w:rsidR="00314A85" w:rsidRPr="00314A85">
        <w:rPr>
          <w:sz w:val="20"/>
          <w:szCs w:val="20"/>
        </w:rPr>
        <w:t>)</w:t>
      </w:r>
    </w:p>
    <w:p w:rsidR="00030AD3" w:rsidRPr="00490FA4" w:rsidRDefault="00030AD3" w:rsidP="00803A23">
      <w:pPr>
        <w:spacing w:before="60"/>
        <w:ind w:left="1134" w:hanging="1134"/>
        <w:jc w:val="both"/>
        <w:rPr>
          <w:sz w:val="20"/>
          <w:szCs w:val="20"/>
          <w:lang w:val="de-DE"/>
        </w:rPr>
      </w:pPr>
      <w:r w:rsidRPr="00490FA4">
        <w:rPr>
          <w:sz w:val="20"/>
          <w:szCs w:val="20"/>
        </w:rPr>
        <w:t>Selz Gebhard J. 2010: Sumerer und Akkader. Geschichte, Gesellschaft, Kultur (München, 2010</w:t>
      </w:r>
      <w:r w:rsidRPr="00490FA4">
        <w:rPr>
          <w:sz w:val="20"/>
          <w:szCs w:val="20"/>
          <w:vertAlign w:val="superscript"/>
        </w:rPr>
        <w:t>2</w:t>
      </w:r>
      <w:r w:rsidRPr="00490FA4">
        <w:rPr>
          <w:sz w:val="20"/>
          <w:szCs w:val="20"/>
        </w:rPr>
        <w:t>)</w:t>
      </w:r>
    </w:p>
    <w:p w:rsidR="00030AD3" w:rsidRPr="00490FA4" w:rsidRDefault="00030AD3" w:rsidP="00803A23">
      <w:pPr>
        <w:spacing w:before="60"/>
        <w:ind w:left="1134" w:hanging="1134"/>
        <w:jc w:val="both"/>
        <w:rPr>
          <w:sz w:val="20"/>
          <w:szCs w:val="20"/>
          <w:lang w:val="de-DE"/>
        </w:rPr>
      </w:pPr>
      <w:r w:rsidRPr="00490FA4">
        <w:rPr>
          <w:sz w:val="20"/>
          <w:szCs w:val="20"/>
          <w:lang w:val="de-DE"/>
        </w:rPr>
        <w:t>Spahn Peter 1993: Individualisierung und politisches Bewusstsein im archaischen Griechen-land, in: Raaflaub/Müller-Luckner (Hg.), Anfänge des politischen Denkens in der Antike (1993) 343-364</w:t>
      </w:r>
    </w:p>
    <w:p w:rsidR="00030AD3" w:rsidRPr="00490FA4" w:rsidRDefault="00030AD3" w:rsidP="00803A23">
      <w:pPr>
        <w:spacing w:before="60"/>
        <w:ind w:left="1134" w:hanging="1134"/>
        <w:jc w:val="both"/>
        <w:rPr>
          <w:sz w:val="20"/>
          <w:szCs w:val="20"/>
          <w:lang w:val="de-DE"/>
        </w:rPr>
      </w:pPr>
      <w:r w:rsidRPr="00490FA4">
        <w:rPr>
          <w:sz w:val="20"/>
          <w:szCs w:val="20"/>
          <w:lang w:val="de-DE"/>
        </w:rPr>
        <w:t>Stein-Hölkeskamp Elke 2015: Das archaische Griechenland. Die Stadt und das Meer (München, 2015)</w:t>
      </w:r>
    </w:p>
    <w:p w:rsidR="00030AD3" w:rsidRDefault="00030AD3" w:rsidP="00803A23">
      <w:pPr>
        <w:spacing w:before="60"/>
        <w:ind w:left="1134" w:hanging="1134"/>
        <w:jc w:val="both"/>
        <w:rPr>
          <w:sz w:val="20"/>
          <w:szCs w:val="20"/>
          <w:lang w:val="de-DE"/>
        </w:rPr>
      </w:pPr>
      <w:r w:rsidRPr="00490FA4">
        <w:rPr>
          <w:sz w:val="20"/>
          <w:szCs w:val="20"/>
          <w:lang w:val="de-DE"/>
        </w:rPr>
        <w:t>Strasburger Hermann 1976: Zum antiken Gesellschaftsideal (Heidelberg, 1976)</w:t>
      </w:r>
    </w:p>
    <w:p w:rsidR="00314A85" w:rsidRPr="00314A85" w:rsidRDefault="00314A85" w:rsidP="00314A85">
      <w:pPr>
        <w:spacing w:before="60"/>
        <w:ind w:left="1134" w:hanging="1134"/>
        <w:jc w:val="both"/>
        <w:rPr>
          <w:sz w:val="20"/>
          <w:szCs w:val="20"/>
          <w:lang w:val="de-DE"/>
        </w:rPr>
      </w:pPr>
      <w:r w:rsidRPr="00314A85">
        <w:rPr>
          <w:sz w:val="20"/>
          <w:szCs w:val="20"/>
          <w:lang w:val="de-DE"/>
        </w:rPr>
        <w:t>Tomasello Michael 2006: Die kulturelle Entwicklung des menschlichen Denkens. Zur Evolution der Kognition (Frankfurt am Main, 2006)</w:t>
      </w:r>
    </w:p>
    <w:p w:rsidR="00314A85" w:rsidRPr="00314A85" w:rsidRDefault="00314A85" w:rsidP="00314A85">
      <w:pPr>
        <w:spacing w:before="60"/>
        <w:ind w:left="1134" w:hanging="1134"/>
        <w:jc w:val="both"/>
        <w:rPr>
          <w:sz w:val="20"/>
          <w:szCs w:val="20"/>
          <w:lang w:val="de-DE"/>
        </w:rPr>
      </w:pPr>
      <w:r w:rsidRPr="00314A85">
        <w:rPr>
          <w:sz w:val="20"/>
          <w:szCs w:val="20"/>
          <w:lang w:val="de-DE"/>
        </w:rPr>
        <w:t xml:space="preserve">Tomasello Michael 2012: Warum wir kooperieren (Berlin, 20122; engl. 2009) </w:t>
      </w:r>
    </w:p>
    <w:p w:rsidR="00314A85" w:rsidRPr="00314A85" w:rsidRDefault="00314A85" w:rsidP="00314A85">
      <w:pPr>
        <w:spacing w:before="60"/>
        <w:ind w:left="1134" w:hanging="1134"/>
        <w:jc w:val="both"/>
        <w:rPr>
          <w:sz w:val="20"/>
          <w:szCs w:val="20"/>
          <w:lang w:val="de-DE"/>
        </w:rPr>
      </w:pPr>
      <w:r w:rsidRPr="00314A85">
        <w:rPr>
          <w:sz w:val="20"/>
          <w:szCs w:val="20"/>
          <w:lang w:val="de-DE"/>
        </w:rPr>
        <w:lastRenderedPageBreak/>
        <w:t xml:space="preserve">Tomasello Michael 2014: Die Ursprünge der menschlichen Kommunikation (Frankfurt am Main, 20143; engl. 2008)  </w:t>
      </w:r>
    </w:p>
    <w:p w:rsidR="00314A85" w:rsidRPr="00314A85" w:rsidRDefault="00314A85" w:rsidP="00314A85">
      <w:pPr>
        <w:spacing w:before="60"/>
        <w:ind w:left="1134" w:hanging="1134"/>
        <w:jc w:val="both"/>
        <w:rPr>
          <w:sz w:val="20"/>
          <w:szCs w:val="20"/>
          <w:lang w:val="de-DE"/>
        </w:rPr>
      </w:pPr>
      <w:r w:rsidRPr="00314A85">
        <w:rPr>
          <w:sz w:val="20"/>
          <w:szCs w:val="20"/>
          <w:lang w:val="de-DE"/>
        </w:rPr>
        <w:t xml:space="preserve">Tomasello Michael 2016: Eine Naturgeschichte der menschlichen Moral (Berlin, 2016) </w:t>
      </w:r>
    </w:p>
    <w:p w:rsidR="00030AD3" w:rsidRDefault="00030AD3" w:rsidP="00803A23">
      <w:pPr>
        <w:spacing w:before="60"/>
        <w:ind w:left="1134" w:hanging="1134"/>
        <w:jc w:val="both"/>
        <w:rPr>
          <w:sz w:val="20"/>
          <w:szCs w:val="20"/>
          <w:lang w:val="de-DE"/>
        </w:rPr>
      </w:pPr>
      <w:r w:rsidRPr="00490FA4">
        <w:rPr>
          <w:sz w:val="20"/>
          <w:szCs w:val="20"/>
          <w:lang w:val="de-DE"/>
        </w:rPr>
        <w:t>Wagner-Hasel Beate 2000: Der Stoff der Gaben. Kultur und Politik des Schenkens und Tauschens im archaischen Griechenland (Frankfurt am Main/New York, 2000)</w:t>
      </w:r>
    </w:p>
    <w:p w:rsidR="00FC195E" w:rsidRPr="00490FA4" w:rsidRDefault="00FC195E" w:rsidP="00803A23">
      <w:pPr>
        <w:spacing w:before="60"/>
        <w:ind w:left="1134" w:hanging="1134"/>
        <w:jc w:val="both"/>
        <w:rPr>
          <w:sz w:val="20"/>
          <w:szCs w:val="20"/>
          <w:lang w:val="de-DE"/>
        </w:rPr>
      </w:pPr>
      <w:r w:rsidRPr="00FC195E">
        <w:rPr>
          <w:sz w:val="20"/>
          <w:szCs w:val="20"/>
          <w:lang w:val="de-DE"/>
        </w:rPr>
        <w:t>Weiler Ingomar 2016: Die Rezeptionsgeschichte im Handwörterbuch der antiken Sklaverei, in: W. Schmitz (Hg.) 2016: Antike Sklaverei zwischen Verdammung und Beschöni-gung (2016) 17-31</w:t>
      </w:r>
    </w:p>
    <w:p w:rsidR="00030AD3" w:rsidRDefault="00030AD3" w:rsidP="00803A23">
      <w:pPr>
        <w:spacing w:before="60"/>
        <w:ind w:left="1134" w:hanging="1134"/>
        <w:jc w:val="both"/>
        <w:rPr>
          <w:sz w:val="20"/>
          <w:szCs w:val="20"/>
          <w:lang w:val="de-DE"/>
        </w:rPr>
      </w:pPr>
      <w:r w:rsidRPr="00490FA4">
        <w:rPr>
          <w:sz w:val="20"/>
          <w:szCs w:val="20"/>
          <w:lang w:val="de-DE"/>
        </w:rPr>
        <w:t>Weiss Egon 1923: Griechisches Privatrecht. Auf rechtsvergleichender Grundlage, I. Allgemeine Lehren (Leipzig, 1923)</w:t>
      </w:r>
    </w:p>
    <w:p w:rsidR="00314A85" w:rsidRPr="00314A85" w:rsidRDefault="00314A85" w:rsidP="00314A85">
      <w:pPr>
        <w:spacing w:before="60"/>
        <w:ind w:left="1134" w:hanging="1134"/>
        <w:jc w:val="both"/>
        <w:rPr>
          <w:sz w:val="20"/>
          <w:szCs w:val="20"/>
          <w:lang w:val="de-DE"/>
        </w:rPr>
      </w:pPr>
      <w:r w:rsidRPr="00314A85">
        <w:rPr>
          <w:sz w:val="20"/>
          <w:szCs w:val="20"/>
          <w:lang w:val="de-DE"/>
        </w:rPr>
        <w:t>Wilson Edward O. 2013: Die soziale Eroberung der Erde. Eine biologische Geschichte des Menschen. Aus dem Englischen von Elsbeth Ranke (München, 2013)</w:t>
      </w:r>
    </w:p>
    <w:p w:rsidR="00314A85" w:rsidRPr="00314A85" w:rsidRDefault="00314A85" w:rsidP="00314A85">
      <w:pPr>
        <w:spacing w:before="60"/>
        <w:ind w:left="1134" w:hanging="1134"/>
        <w:jc w:val="both"/>
        <w:rPr>
          <w:sz w:val="20"/>
          <w:szCs w:val="20"/>
          <w:lang w:val="de-DE"/>
        </w:rPr>
      </w:pPr>
      <w:r w:rsidRPr="00314A85">
        <w:rPr>
          <w:sz w:val="20"/>
          <w:szCs w:val="20"/>
          <w:lang w:val="de-DE"/>
        </w:rPr>
        <w:t>Wilson Edward O. 2015: Der Sinn des menschlichen Lebens (München, 2015)</w:t>
      </w:r>
    </w:p>
    <w:p w:rsidR="00314A85" w:rsidRPr="00490FA4" w:rsidRDefault="00314A85" w:rsidP="00803A23">
      <w:pPr>
        <w:spacing w:before="60"/>
        <w:ind w:left="1134" w:hanging="1134"/>
        <w:jc w:val="both"/>
        <w:rPr>
          <w:sz w:val="20"/>
          <w:szCs w:val="20"/>
          <w:lang w:val="de-DE"/>
        </w:rPr>
      </w:pPr>
      <w:r>
        <w:rPr>
          <w:sz w:val="20"/>
          <w:szCs w:val="20"/>
          <w:lang w:val="de-DE"/>
        </w:rPr>
        <w:t>Wimmer Hannes 1997: Theorie zur Entstehung des Staates und des Rechts, in: Lampe, Zur Entwicklung von Rechtsbewusstsein (1997) 214-252</w:t>
      </w:r>
    </w:p>
    <w:p w:rsidR="00030AD3" w:rsidRDefault="00030AD3" w:rsidP="00803A23">
      <w:pPr>
        <w:spacing w:before="60"/>
        <w:ind w:left="1134" w:hanging="1134"/>
        <w:jc w:val="both"/>
        <w:rPr>
          <w:lang w:val="de-DE"/>
        </w:rPr>
      </w:pPr>
      <w:r>
        <w:rPr>
          <w:lang w:val="de-DE"/>
        </w:rPr>
        <w:t xml:space="preserve"> </w:t>
      </w:r>
      <w:bookmarkStart w:id="6" w:name="_GoBack"/>
      <w:bookmarkEnd w:id="6"/>
    </w:p>
    <w:sectPr w:rsidR="00030AD3" w:rsidSect="005A436C">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6D" w:rsidRDefault="0087466D">
      <w:r>
        <w:separator/>
      </w:r>
    </w:p>
  </w:endnote>
  <w:endnote w:type="continuationSeparator" w:id="0">
    <w:p w:rsidR="0087466D" w:rsidRDefault="0087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Greek Old Face C">
    <w:panose1 w:val="040006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6D" w:rsidRPr="004218CD" w:rsidRDefault="0087466D">
    <w:pPr>
      <w:pStyle w:val="Fuzeile"/>
      <w:jc w:val="center"/>
      <w:rPr>
        <w:sz w:val="20"/>
        <w:szCs w:val="20"/>
      </w:rPr>
    </w:pPr>
  </w:p>
  <w:p w:rsidR="0087466D" w:rsidRDefault="008746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6D" w:rsidRDefault="0087466D">
      <w:r>
        <w:separator/>
      </w:r>
    </w:p>
  </w:footnote>
  <w:footnote w:type="continuationSeparator" w:id="0">
    <w:p w:rsidR="0087466D" w:rsidRDefault="0087466D">
      <w:r>
        <w:continuationSeparator/>
      </w:r>
    </w:p>
  </w:footnote>
  <w:footnote w:id="1">
    <w:p w:rsidR="0087466D" w:rsidRPr="001578A3" w:rsidRDefault="0087466D">
      <w:pPr>
        <w:pStyle w:val="Funotentext"/>
        <w:rPr>
          <w:rFonts w:ascii="Times New Roman" w:hAnsi="Times New Roman"/>
          <w:lang w:val="de-AT"/>
        </w:rPr>
      </w:pPr>
      <w:r>
        <w:rPr>
          <w:rStyle w:val="Funotenzeichen"/>
        </w:rPr>
        <w:footnoteRef/>
      </w:r>
      <w:r>
        <w:t xml:space="preserve"> </w:t>
      </w:r>
      <w:r w:rsidRPr="001578A3">
        <w:rPr>
          <w:rFonts w:ascii="Times New Roman" w:hAnsi="Times New Roman"/>
          <w:lang w:val="de-AT"/>
        </w:rPr>
        <w:t>Auf die Bedeutung und bisherige Behandlung des Themas gehe ich in Pkt. III ein.</w:t>
      </w:r>
    </w:p>
  </w:footnote>
  <w:footnote w:id="2">
    <w:p w:rsidR="0087466D" w:rsidRDefault="0087466D">
      <w:pPr>
        <w:pStyle w:val="Funotentext"/>
      </w:pPr>
      <w:r>
        <w:rPr>
          <w:rStyle w:val="Funotenzeichen"/>
        </w:rPr>
        <w:footnoteRef/>
      </w:r>
      <w:r>
        <w:t xml:space="preserve"> </w:t>
      </w:r>
      <w:r w:rsidRPr="00B8770F">
        <w:rPr>
          <w:rFonts w:ascii="Times New Roman" w:hAnsi="Times New Roman"/>
          <w:lang w:val="de-AT"/>
        </w:rPr>
        <w:t>Von Gebhard E. Selz stammt das C. H. Beck-Bändchen, ‚Wissen‘: ‚Sumerer und Akkader‘ (2005/2010</w:t>
      </w:r>
      <w:r>
        <w:rPr>
          <w:rFonts w:ascii="Times New Roman" w:hAnsi="Times New Roman"/>
          <w:vertAlign w:val="superscript"/>
          <w:lang w:val="de-AT"/>
        </w:rPr>
        <w:t>2</w:t>
      </w:r>
      <w:r w:rsidRPr="00B8770F">
        <w:rPr>
          <w:rFonts w:ascii="Times New Roman" w:hAnsi="Times New Roman"/>
          <w:lang w:val="de-AT"/>
        </w:rPr>
        <w:t>)</w:t>
      </w:r>
      <w:r>
        <w:rPr>
          <w:rFonts w:ascii="Times New Roman" w:hAnsi="Times New Roman"/>
          <w:lang w:val="de-AT"/>
        </w:rPr>
        <w:t>. – Dem von ihm verwendeten Begriff ‚Individualisierungsprozesse‘ halte ich für treffend, da die Individualisierung nur als langgezogener ‚Prozeß‘ gesellschaftlich-politischer und rechtlicher Anlagerung zu verstehen ist.</w:t>
      </w:r>
    </w:p>
  </w:footnote>
  <w:footnote w:id="3">
    <w:p w:rsidR="0087466D" w:rsidRPr="002868A2" w:rsidRDefault="0087466D">
      <w:pPr>
        <w:pStyle w:val="Funotentext"/>
        <w:rPr>
          <w:rFonts w:ascii="Times New Roman" w:hAnsi="Times New Roman"/>
          <w:lang w:val="de-AT"/>
        </w:rPr>
      </w:pPr>
      <w:r w:rsidRPr="002868A2">
        <w:rPr>
          <w:rStyle w:val="Funotenzeichen"/>
          <w:sz w:val="20"/>
        </w:rPr>
        <w:footnoteRef/>
      </w:r>
      <w:r>
        <w:t xml:space="preserve"> </w:t>
      </w:r>
      <w:r w:rsidRPr="002868A2">
        <w:rPr>
          <w:rFonts w:ascii="Times New Roman" w:hAnsi="Times New Roman"/>
          <w:lang w:val="de-AT"/>
        </w:rPr>
        <w:t>Auch M. Lang geht auf diese Frage ein.</w:t>
      </w:r>
    </w:p>
  </w:footnote>
  <w:footnote w:id="4">
    <w:p w:rsidR="0087466D" w:rsidRDefault="0087466D">
      <w:pPr>
        <w:pStyle w:val="Funotentext"/>
      </w:pPr>
      <w:r w:rsidRPr="00856E95">
        <w:rPr>
          <w:rStyle w:val="Funotenzeichen"/>
          <w:sz w:val="20"/>
        </w:rPr>
        <w:footnoteRef/>
      </w:r>
      <w:r w:rsidRPr="00CF4966">
        <w:rPr>
          <w:rFonts w:ascii="Times New Roman" w:hAnsi="Times New Roman"/>
          <w:lang w:val="de-AT"/>
        </w:rPr>
        <w:t xml:space="preserve"> Dazu</w:t>
      </w:r>
      <w:r>
        <w:rPr>
          <w:rFonts w:ascii="Times New Roman" w:hAnsi="Times New Roman"/>
          <w:lang w:val="de-AT"/>
        </w:rPr>
        <w:t xml:space="preserve"> allgemein</w:t>
      </w:r>
      <w:r w:rsidRPr="00CF4966">
        <w:rPr>
          <w:rFonts w:ascii="Times New Roman" w:hAnsi="Times New Roman"/>
          <w:lang w:val="de-AT"/>
        </w:rPr>
        <w:t xml:space="preserve"> Barta/Palme Ingenhaeff  (1999) und Barta/Pallaver (2007); </w:t>
      </w:r>
      <w:r>
        <w:rPr>
          <w:rFonts w:ascii="Times New Roman" w:hAnsi="Times New Roman"/>
          <w:lang w:val="de-AT"/>
        </w:rPr>
        <w:t xml:space="preserve">zur problematischen Stellung der Frau im Islam: </w:t>
      </w:r>
      <w:r w:rsidRPr="00CF4966">
        <w:rPr>
          <w:rFonts w:ascii="Times New Roman" w:hAnsi="Times New Roman"/>
          <w:lang w:val="de-AT"/>
        </w:rPr>
        <w:t xml:space="preserve">Hamed Abdel Samad, Mohamed (2015). </w:t>
      </w:r>
    </w:p>
  </w:footnote>
  <w:footnote w:id="5">
    <w:p w:rsidR="0087466D" w:rsidRPr="002868A2" w:rsidRDefault="0087466D">
      <w:pPr>
        <w:pStyle w:val="Funotentext"/>
        <w:rPr>
          <w:lang w:val="de-AT"/>
        </w:rPr>
      </w:pPr>
      <w:r>
        <w:rPr>
          <w:rStyle w:val="Funotenzeichen"/>
        </w:rPr>
        <w:footnoteRef/>
      </w:r>
      <w:r w:rsidR="00FC195E">
        <w:rPr>
          <w:rFonts w:ascii="Times New Roman" w:hAnsi="Times New Roman"/>
          <w:lang w:val="de-AT"/>
        </w:rPr>
        <w:t xml:space="preserve"> Vgl. I. Weiler (2016).</w:t>
      </w:r>
    </w:p>
  </w:footnote>
  <w:footnote w:id="6">
    <w:p w:rsidR="0087466D" w:rsidRPr="00555414" w:rsidRDefault="0087466D">
      <w:pPr>
        <w:pStyle w:val="Funotentext"/>
        <w:rPr>
          <w:rFonts w:ascii="Times New Roman" w:hAnsi="Times New Roman"/>
          <w:lang w:val="de-AT"/>
        </w:rPr>
      </w:pPr>
      <w:r w:rsidRPr="00555414">
        <w:rPr>
          <w:rStyle w:val="Funotenzeichen"/>
        </w:rPr>
        <w:footnoteRef/>
      </w:r>
      <w:r w:rsidRPr="00555414">
        <w:rPr>
          <w:rFonts w:ascii="Times New Roman" w:hAnsi="Times New Roman"/>
        </w:rPr>
        <w:t xml:space="preserve"> Das Land Tirol sah sich leider nicht in der Lage, unsere Tagung zu unterstützen. Ein auch nur grober politischer Vergleich zwischen dem Land Vorarlberg und dem Land Tirol fällt nicht zugunsten Tirols aus!</w:t>
      </w:r>
    </w:p>
  </w:footnote>
  <w:footnote w:id="7">
    <w:p w:rsidR="0087466D" w:rsidRPr="001E1114" w:rsidRDefault="0087466D">
      <w:pPr>
        <w:pStyle w:val="Funotentext"/>
        <w:rPr>
          <w:lang w:val="de-AT"/>
        </w:rPr>
      </w:pPr>
      <w:r>
        <w:rPr>
          <w:rStyle w:val="Funotenzeichen"/>
        </w:rPr>
        <w:footnoteRef/>
      </w:r>
      <w:r>
        <w:t xml:space="preserve"> </w:t>
      </w:r>
      <w:r w:rsidRPr="001E1114">
        <w:rPr>
          <w:rFonts w:ascii="Times New Roman" w:hAnsi="Times New Roman"/>
        </w:rPr>
        <w:t>Ich</w:t>
      </w:r>
      <w:r>
        <w:rPr>
          <w:rFonts w:ascii="Times New Roman" w:hAnsi="Times New Roman"/>
        </w:rPr>
        <w:t xml:space="preserve"> beschränke mich hier aus Zeit</w:t>
      </w:r>
      <w:r w:rsidRPr="001E1114">
        <w:rPr>
          <w:rFonts w:ascii="Times New Roman" w:hAnsi="Times New Roman"/>
        </w:rPr>
        <w:t>gründen auf thesenartige Aussagen, die in der Publikation ausgeführt werden sollen</w:t>
      </w:r>
      <w:r>
        <w:rPr>
          <w:rFonts w:ascii="Times New Roman" w:hAnsi="Times New Roman"/>
        </w:rPr>
        <w:t xml:space="preserve"> – vgl. dazu schon ‚Graeca‘, Bd. II/1, Kap. II 1 (S. 37 ff): ‚Entstehung des Rechtssubjekts‘.</w:t>
      </w:r>
      <w:r w:rsidRPr="001E1114">
        <w:rPr>
          <w:rFonts w:ascii="Times New Roman" w:hAnsi="Times New Roman"/>
        </w:rPr>
        <w:t>!</w:t>
      </w:r>
      <w:r w:rsidRPr="001E1114">
        <w:t xml:space="preserve">      </w:t>
      </w:r>
    </w:p>
  </w:footnote>
  <w:footnote w:id="8">
    <w:p w:rsidR="0087466D" w:rsidRDefault="0087466D" w:rsidP="0065325D">
      <w:pPr>
        <w:pStyle w:val="Funotentext"/>
      </w:pPr>
      <w:r w:rsidRPr="00856E95">
        <w:rPr>
          <w:rStyle w:val="Funotenzeichen"/>
          <w:sz w:val="20"/>
        </w:rPr>
        <w:footnoteRef/>
      </w:r>
      <w:r>
        <w:rPr>
          <w:rFonts w:ascii="Times New Roman" w:hAnsi="Times New Roman"/>
        </w:rPr>
        <w:t xml:space="preserve"> Vgl. nur</w:t>
      </w:r>
      <w:r w:rsidRPr="00856E95">
        <w:rPr>
          <w:rFonts w:ascii="Times New Roman" w:hAnsi="Times New Roman"/>
        </w:rPr>
        <w:t xml:space="preserve"> Bazz</w:t>
      </w:r>
      <w:r>
        <w:rPr>
          <w:rFonts w:ascii="Times New Roman" w:hAnsi="Times New Roman"/>
        </w:rPr>
        <w:t xml:space="preserve">i 2014, 15 ff. </w:t>
      </w:r>
      <w:r w:rsidRPr="00856E95">
        <w:rPr>
          <w:rFonts w:ascii="Times New Roman" w:hAnsi="Times New Roman"/>
        </w:rPr>
        <w:t>– Wie lohnend psychoanalytische Fragestellungen und Einsichten für die Alte Geschichte und die Rechtsgeschichte sein k</w:t>
      </w:r>
      <w:r>
        <w:rPr>
          <w:rFonts w:ascii="Times New Roman" w:hAnsi="Times New Roman"/>
        </w:rPr>
        <w:t xml:space="preserve">önnen, zeigt </w:t>
      </w:r>
      <w:r w:rsidRPr="00856E95">
        <w:rPr>
          <w:rFonts w:ascii="Times New Roman" w:hAnsi="Times New Roman"/>
        </w:rPr>
        <w:t>Bazzi</w:t>
      </w:r>
      <w:r>
        <w:rPr>
          <w:rFonts w:ascii="Times New Roman" w:hAnsi="Times New Roman"/>
        </w:rPr>
        <w:t>s</w:t>
      </w:r>
      <w:r w:rsidRPr="00BE2065">
        <w:rPr>
          <w:rFonts w:ascii="Times New Roman" w:hAnsi="Times New Roman"/>
        </w:rPr>
        <w:t xml:space="preserve"> </w:t>
      </w:r>
      <w:r>
        <w:rPr>
          <w:rFonts w:ascii="Times New Roman" w:hAnsi="Times New Roman"/>
        </w:rPr>
        <w:t>Beitrag</w:t>
      </w:r>
      <w:r w:rsidRPr="00856E95">
        <w:rPr>
          <w:rFonts w:ascii="Times New Roman" w:hAnsi="Times New Roman"/>
        </w:rPr>
        <w:t>,</w:t>
      </w:r>
      <w:r>
        <w:rPr>
          <w:rFonts w:ascii="Times New Roman" w:hAnsi="Times New Roman"/>
        </w:rPr>
        <w:t xml:space="preserve"> in dem die Autorin im Anschluß</w:t>
      </w:r>
      <w:r w:rsidRPr="00856E95">
        <w:rPr>
          <w:rFonts w:ascii="Times New Roman" w:hAnsi="Times New Roman"/>
        </w:rPr>
        <w:t xml:space="preserve"> an </w:t>
      </w:r>
      <w:r w:rsidRPr="00A9131D">
        <w:rPr>
          <w:rFonts w:ascii="Times New Roman" w:hAnsi="Times New Roman"/>
          <w:i/>
        </w:rPr>
        <w:t>G. Devereux</w:t>
      </w:r>
      <w:r w:rsidRPr="00856E95">
        <w:rPr>
          <w:rFonts w:ascii="Times New Roman" w:hAnsi="Times New Roman"/>
        </w:rPr>
        <w:t xml:space="preserve"> </w:t>
      </w:r>
      <w:r>
        <w:rPr>
          <w:rFonts w:ascii="Times New Roman" w:hAnsi="Times New Roman"/>
        </w:rPr>
        <w:t>(1972)</w:t>
      </w:r>
      <w:r w:rsidRPr="00856E95">
        <w:rPr>
          <w:rFonts w:ascii="Times New Roman" w:hAnsi="Times New Roman"/>
        </w:rPr>
        <w:t xml:space="preserve"> auf die unterschiedliche Grenzziehung zwischen </w:t>
      </w:r>
      <w:r w:rsidRPr="00A9131D">
        <w:rPr>
          <w:rFonts w:ascii="Times New Roman" w:hAnsi="Times New Roman"/>
          <w:i/>
        </w:rPr>
        <w:t>,Bewußt‘</w:t>
      </w:r>
      <w:r w:rsidRPr="00856E95">
        <w:rPr>
          <w:rFonts w:ascii="Times New Roman" w:hAnsi="Times New Roman"/>
        </w:rPr>
        <w:t xml:space="preserve"> und </w:t>
      </w:r>
      <w:r w:rsidRPr="00A9131D">
        <w:rPr>
          <w:rFonts w:ascii="Times New Roman" w:hAnsi="Times New Roman"/>
          <w:i/>
        </w:rPr>
        <w:t>,Unbewußt‘</w:t>
      </w:r>
      <w:r w:rsidRPr="00856E95">
        <w:rPr>
          <w:rFonts w:ascii="Times New Roman" w:hAnsi="Times New Roman"/>
        </w:rPr>
        <w:t xml:space="preserve"> in verschiedenen Kulturen eingeht. Devereux war davon überzeugt, dass „Triebe, Wünsche, Phan</w:t>
      </w:r>
      <w:r>
        <w:rPr>
          <w:rFonts w:ascii="Times New Roman" w:hAnsi="Times New Roman"/>
        </w:rPr>
        <w:softHyphen/>
      </w:r>
      <w:r w:rsidRPr="00856E95">
        <w:rPr>
          <w:rFonts w:ascii="Times New Roman" w:hAnsi="Times New Roman"/>
        </w:rPr>
        <w:t xml:space="preserve">tasien und andere Produkte der menschlichen Psyche in einer Gesellschaft vollständig verdrängt sein können, während sie in einer anderen völlig bewußt sind und kulturell realisiert werden“. </w:t>
      </w:r>
      <w:r>
        <w:rPr>
          <w:rFonts w:ascii="Times New Roman" w:hAnsi="Times New Roman"/>
        </w:rPr>
        <w:t>Diese Fragen werden oft übergangen, obwohl sie für das kulturelle Verständnis wichtig wären.</w:t>
      </w:r>
    </w:p>
  </w:footnote>
  <w:footnote w:id="9">
    <w:p w:rsidR="0087466D" w:rsidRPr="00797C34" w:rsidRDefault="0087466D">
      <w:pPr>
        <w:pStyle w:val="Funotentext"/>
        <w:rPr>
          <w:lang w:val="de-AT"/>
        </w:rPr>
      </w:pPr>
      <w:r>
        <w:rPr>
          <w:rStyle w:val="Funotenzeichen"/>
        </w:rPr>
        <w:footnoteRef/>
      </w:r>
      <w:r>
        <w:t xml:space="preserve"> </w:t>
      </w:r>
      <w:r>
        <w:rPr>
          <w:lang w:val="de-AT"/>
        </w:rPr>
        <w:t>Ich verweise dazu nunmehr auf meine Studie: ‚Demokratie als kulturelles lernen‘ (2017, 55 ff: ‚Evolutionsbiologie, alte Geschichte und Rechtsgeschichte‘).</w:t>
      </w:r>
    </w:p>
  </w:footnote>
  <w:footnote w:id="10">
    <w:p w:rsidR="0087466D" w:rsidRDefault="0087466D" w:rsidP="002A574E">
      <w:pPr>
        <w:pStyle w:val="Funotentext"/>
      </w:pPr>
      <w:r w:rsidRPr="00856E95">
        <w:rPr>
          <w:rStyle w:val="Funotenzeichen"/>
          <w:sz w:val="20"/>
        </w:rPr>
        <w:footnoteRef/>
      </w:r>
      <w:r w:rsidRPr="00856E95">
        <w:rPr>
          <w:rFonts w:ascii="Times New Roman" w:hAnsi="Times New Roman"/>
        </w:rPr>
        <w:t xml:space="preserve"> W. Singer 2006, 51 iVm 48 f.</w:t>
      </w:r>
    </w:p>
  </w:footnote>
  <w:footnote w:id="11">
    <w:p w:rsidR="0087466D" w:rsidRPr="00F82B82" w:rsidRDefault="0087466D" w:rsidP="002A574E">
      <w:pPr>
        <w:pStyle w:val="Funotentext"/>
        <w:rPr>
          <w:rFonts w:ascii="Times New Roman" w:hAnsi="Times New Roman"/>
        </w:rPr>
      </w:pPr>
      <w:r w:rsidRPr="00856E95">
        <w:rPr>
          <w:rStyle w:val="Funotenzeichen"/>
          <w:sz w:val="20"/>
        </w:rPr>
        <w:footnoteRef/>
      </w:r>
      <w:r>
        <w:rPr>
          <w:rFonts w:ascii="Times New Roman" w:hAnsi="Times New Roman"/>
        </w:rPr>
        <w:t xml:space="preserve"> </w:t>
      </w:r>
      <w:r w:rsidRPr="00F82B82">
        <w:rPr>
          <w:rFonts w:ascii="Times New Roman" w:hAnsi="Times New Roman"/>
        </w:rPr>
        <w:t xml:space="preserve">Zur biologischen Grundlage menschlicher Individualität: W. Singer 2006, 55 und E. Kandel (2009). </w:t>
      </w:r>
      <w:r>
        <w:rPr>
          <w:rFonts w:ascii="Times New Roman" w:hAnsi="Times New Roman"/>
        </w:rPr>
        <w:t>– zu den – auch für alte Geschichte, Altorientalistik und Rechtsgeschichte – wichtigen Ergebnissen der Evolutionsbiologie siehe insbes. S. E. Wilson (2013/2015) sowie die im Literaturverzeichnis auswegwiesen Arbeiten von M. Tomasello.</w:t>
      </w:r>
    </w:p>
  </w:footnote>
  <w:footnote w:id="12">
    <w:p w:rsidR="0087466D" w:rsidRPr="00F82B82" w:rsidRDefault="0087466D">
      <w:pPr>
        <w:pStyle w:val="Funotentext"/>
        <w:rPr>
          <w:rFonts w:ascii="Times New Roman" w:hAnsi="Times New Roman"/>
        </w:rPr>
      </w:pPr>
      <w:r w:rsidRPr="00F82B82">
        <w:rPr>
          <w:rStyle w:val="Funotenzeichen"/>
        </w:rPr>
        <w:footnoteRef/>
      </w:r>
      <w:r w:rsidRPr="00F82B82">
        <w:rPr>
          <w:rFonts w:ascii="Times New Roman" w:hAnsi="Times New Roman"/>
        </w:rPr>
        <w:t xml:space="preserve"> Bisher sind erschienen: Barta/Mayer-Maly/Raber (2005); Rollinger/Barta/Lang (2007); Barta/Rollinger/Lang (2008); Lang/Barta/Rollinger (2010); Rollinger/Lang/Barta (2012); Bar</w:t>
      </w:r>
      <w:r>
        <w:rPr>
          <w:rFonts w:ascii="Times New Roman" w:hAnsi="Times New Roman"/>
        </w:rPr>
        <w:t>ta/Lang/Rollinger (2015); Lang/Rollin</w:t>
      </w:r>
      <w:r>
        <w:rPr>
          <w:rFonts w:ascii="Times New Roman" w:hAnsi="Times New Roman"/>
        </w:rPr>
        <w:softHyphen/>
        <w:t>ger/</w:t>
      </w:r>
      <w:r w:rsidRPr="00F82B82">
        <w:rPr>
          <w:rFonts w:ascii="Times New Roman" w:hAnsi="Times New Roman"/>
        </w:rPr>
        <w:t>Barta (201</w:t>
      </w:r>
      <w:r>
        <w:rPr>
          <w:rFonts w:ascii="Times New Roman" w:hAnsi="Times New Roman"/>
        </w:rPr>
        <w:t>6): ‚</w:t>
      </w:r>
      <w:r w:rsidRPr="00391B7C">
        <w:rPr>
          <w:rFonts w:ascii="Times New Roman" w:hAnsi="Times New Roman"/>
        </w:rPr>
        <w:t>Prozeßrecht und Eid: Recht und Rechtsfindung in antiken Kulturen’ – Teil II</w:t>
      </w:r>
      <w:r>
        <w:rPr>
          <w:rFonts w:ascii="Times New Roman" w:hAnsi="Times New Roman"/>
        </w:rPr>
        <w:t>‘.</w:t>
      </w:r>
    </w:p>
  </w:footnote>
  <w:footnote w:id="13">
    <w:p w:rsidR="0087466D" w:rsidRPr="00F82B82" w:rsidRDefault="0087466D">
      <w:pPr>
        <w:pStyle w:val="Funotentext"/>
        <w:rPr>
          <w:rFonts w:ascii="Times New Roman" w:hAnsi="Times New Roman"/>
        </w:rPr>
      </w:pPr>
      <w:r w:rsidRPr="00F82B82">
        <w:rPr>
          <w:rStyle w:val="Funotenzeichen"/>
        </w:rPr>
        <w:footnoteRef/>
      </w:r>
      <w:r w:rsidRPr="00F82B82">
        <w:rPr>
          <w:rFonts w:ascii="Times New Roman" w:hAnsi="Times New Roman"/>
        </w:rPr>
        <w:t xml:space="preserve"> Ich verweise etwa auf die ‚Einleitung’ zu: Barta/Mayer-Maly/Raber (2005) 5 ff oder die ‚Einleitenden Bemerkungen’ </w:t>
      </w:r>
      <w:r>
        <w:rPr>
          <w:rFonts w:ascii="Times New Roman" w:hAnsi="Times New Roman"/>
        </w:rPr>
        <w:t>in</w:t>
      </w:r>
      <w:r w:rsidRPr="00F82B82">
        <w:rPr>
          <w:rFonts w:ascii="Times New Roman" w:hAnsi="Times New Roman"/>
        </w:rPr>
        <w:t xml:space="preserve"> Rollinger/Barta/Lang (2007) VII ff.</w:t>
      </w:r>
    </w:p>
  </w:footnote>
  <w:footnote w:id="14">
    <w:p w:rsidR="0087466D" w:rsidRPr="00C60045" w:rsidRDefault="0087466D">
      <w:pPr>
        <w:pStyle w:val="Funotentext"/>
        <w:rPr>
          <w:lang w:val="de-AT"/>
        </w:rPr>
      </w:pPr>
      <w:r>
        <w:rPr>
          <w:rStyle w:val="Funotenzeichen"/>
        </w:rPr>
        <w:footnoteRef/>
      </w:r>
      <w:r>
        <w:t xml:space="preserve"> </w:t>
      </w:r>
      <w:r>
        <w:rPr>
          <w:lang w:val="de-AT"/>
        </w:rPr>
        <w:t xml:space="preserve">Zum ‚Prozeß‘ der Menschwerdung  - der hier noch ausgespart blieb – s die Hinweise auf evolutionsbiologisches Schrifttum in Anm </w:t>
      </w:r>
      <w:r>
        <w:rPr>
          <w:lang w:val="de-AT"/>
        </w:rPr>
        <w:fldChar w:fldCharType="begin"/>
      </w:r>
      <w:r>
        <w:rPr>
          <w:lang w:val="de-AT"/>
        </w:rPr>
        <w:instrText xml:space="preserve"> NOTEREF _Ref510098938 \h </w:instrText>
      </w:r>
      <w:r>
        <w:rPr>
          <w:lang w:val="de-AT"/>
        </w:rPr>
      </w:r>
      <w:r>
        <w:rPr>
          <w:lang w:val="de-AT"/>
        </w:rPr>
        <w:fldChar w:fldCharType="separate"/>
      </w:r>
      <w:r>
        <w:rPr>
          <w:lang w:val="de-AT"/>
        </w:rPr>
        <w:t>11</w:t>
      </w:r>
      <w:r>
        <w:rPr>
          <w:lang w:val="de-AT"/>
        </w:rPr>
        <w:fldChar w:fldCharType="end"/>
      </w:r>
      <w:r>
        <w:rPr>
          <w:lang w:val="de-AT"/>
        </w:rPr>
        <w:t>.</w:t>
      </w:r>
    </w:p>
  </w:footnote>
  <w:footnote w:id="15">
    <w:p w:rsidR="0087466D" w:rsidRPr="00F666C7" w:rsidRDefault="0087466D">
      <w:pPr>
        <w:pStyle w:val="Funotentext"/>
        <w:rPr>
          <w:lang w:val="de-AT"/>
        </w:rPr>
      </w:pPr>
      <w:r>
        <w:rPr>
          <w:rStyle w:val="Funotenzeichen"/>
        </w:rPr>
        <w:footnoteRef/>
      </w:r>
      <w:r w:rsidR="00FC195E">
        <w:t xml:space="preserve"> </w:t>
      </w:r>
      <w:r>
        <w:rPr>
          <w:lang w:val="de-AT"/>
        </w:rPr>
        <w:t xml:space="preserve">So zieht es Beate Wagner-Hasel (2000, 69 f) angesichts „von neuzeitlichen Entwicklungen geprägten Vorstellungen vom Wesen des Staates“ vor, für ihre Untersuchung „den Begriff Staat zu meiden“; und auch das „moderne Einzelindividuum“ scheint ihr primär dem Haus/Oikos oder der Familie/familia oder domus zugeordnet, denn als autonome Person. – Damit bleibt die beachtliche rechtliche Entwicklung seit Drakon und Solon, über Kleisthenes und Perikles, die Sophistik und die klassische Philosophie, bis hin in den Hellenismus ausgeblendet. </w:t>
      </w:r>
    </w:p>
  </w:footnote>
  <w:footnote w:id="16">
    <w:p w:rsidR="0087466D" w:rsidRPr="00F666C7" w:rsidRDefault="0087466D">
      <w:pPr>
        <w:pStyle w:val="Funotentext"/>
        <w:rPr>
          <w:lang w:val="de-AT"/>
        </w:rPr>
      </w:pPr>
      <w:r>
        <w:rPr>
          <w:rStyle w:val="Funotenzeichen"/>
        </w:rPr>
        <w:footnoteRef/>
      </w:r>
      <w:r>
        <w:t xml:space="preserve"> </w:t>
      </w:r>
      <w:r>
        <w:rPr>
          <w:lang w:val="de-AT"/>
        </w:rPr>
        <w:t xml:space="preserve">Dazu tendiere ich selbst, da die Entwicklung des Personsverständnisses – und zwar individuell wie kollektiv – in der griechischen Antike, beginnend mit Drakon und Solon, bereits weit vorangeschritten ist. Dazu gleich mehr.  </w:t>
      </w:r>
    </w:p>
  </w:footnote>
  <w:footnote w:id="17">
    <w:p w:rsidR="0087466D" w:rsidRPr="00F666C7" w:rsidRDefault="0087466D" w:rsidP="00C60045">
      <w:pPr>
        <w:pStyle w:val="Funotentext"/>
        <w:rPr>
          <w:lang w:val="de-AT"/>
        </w:rPr>
      </w:pPr>
      <w:r>
        <w:rPr>
          <w:rStyle w:val="Funotenzeichen"/>
        </w:rPr>
        <w:footnoteRef/>
      </w:r>
      <w:r>
        <w:t xml:space="preserve"> </w:t>
      </w:r>
      <w:r>
        <w:rPr>
          <w:lang w:val="de-AT"/>
        </w:rPr>
        <w:t xml:space="preserve">Das gilt auch für Elke Stein-Hölkeskamp (2015), die übersehen hat, wie weit schon in der Archaik der Prozeß der Individualisierung (samt dem Rechtsschutz der Personalität) vorangekommen war; s. bei und in Anm. </w:t>
      </w:r>
      <w:r>
        <w:rPr>
          <w:lang w:val="de-AT"/>
        </w:rPr>
        <w:fldChar w:fldCharType="begin"/>
      </w:r>
      <w:r>
        <w:rPr>
          <w:lang w:val="de-AT"/>
        </w:rPr>
        <w:instrText xml:space="preserve"> NOTEREF _Ref510099338 \h </w:instrText>
      </w:r>
      <w:r>
        <w:rPr>
          <w:lang w:val="de-AT"/>
        </w:rPr>
      </w:r>
      <w:r>
        <w:rPr>
          <w:lang w:val="de-AT"/>
        </w:rPr>
        <w:fldChar w:fldCharType="separate"/>
      </w:r>
      <w:r>
        <w:rPr>
          <w:lang w:val="de-AT"/>
        </w:rPr>
        <w:t>34</w:t>
      </w:r>
      <w:r>
        <w:rPr>
          <w:lang w:val="de-AT"/>
        </w:rPr>
        <w:fldChar w:fldCharType="end"/>
      </w:r>
      <w:r>
        <w:rPr>
          <w:lang w:val="de-AT"/>
        </w:rPr>
        <w:t xml:space="preserve">  schon Anm. </w:t>
      </w:r>
      <w:r>
        <w:rPr>
          <w:lang w:val="de-AT"/>
        </w:rPr>
        <w:fldChar w:fldCharType="begin"/>
      </w:r>
      <w:r>
        <w:rPr>
          <w:lang w:val="de-AT"/>
        </w:rPr>
        <w:instrText xml:space="preserve"> NOTEREF _Ref440990004 \h </w:instrText>
      </w:r>
      <w:r>
        <w:rPr>
          <w:lang w:val="de-AT"/>
        </w:rPr>
      </w:r>
      <w:r>
        <w:rPr>
          <w:lang w:val="de-AT"/>
        </w:rPr>
        <w:fldChar w:fldCharType="separate"/>
      </w:r>
      <w:r>
        <w:rPr>
          <w:lang w:val="de-AT"/>
        </w:rPr>
        <w:t>25</w:t>
      </w:r>
      <w:r>
        <w:rPr>
          <w:lang w:val="de-AT"/>
        </w:rPr>
        <w:fldChar w:fldCharType="end"/>
      </w:r>
      <w:r>
        <w:rPr>
          <w:lang w:val="de-AT"/>
        </w:rPr>
        <w:t xml:space="preserve">. Die klassische und hellenistische Entwicklung mußte keineswegs alles erfinden. </w:t>
      </w:r>
    </w:p>
  </w:footnote>
  <w:footnote w:id="18">
    <w:p w:rsidR="0087466D" w:rsidRDefault="0087466D">
      <w:pPr>
        <w:pStyle w:val="Funotentext"/>
      </w:pPr>
      <w:r>
        <w:rPr>
          <w:rStyle w:val="Funotenzeichen"/>
        </w:rPr>
        <w:footnoteRef/>
      </w:r>
      <w:r>
        <w:t xml:space="preserve"> Ich verweise über diese Ausführungen hinaus auf ‚Graeca’: etwa Bd. I, Kap. I 2 (S. 115 ff); Bd. II/1, Kap. II 1 (S. 37 ff), 9 (S. 318 ff), 10 (S. 496 ff, 571 ff und 588 ff) und insbesondere Bd. III/1, Kap. V 3 (S. 285 ff): ‚Der lange Weg zum Begriff ‚Person’’. </w:t>
      </w:r>
    </w:p>
  </w:footnote>
  <w:footnote w:id="19">
    <w:p w:rsidR="0087466D" w:rsidRDefault="0087466D">
      <w:pPr>
        <w:pStyle w:val="Funotentext"/>
      </w:pPr>
      <w:r>
        <w:rPr>
          <w:rStyle w:val="Funotenzeichen"/>
        </w:rPr>
        <w:footnoteRef/>
      </w:r>
      <w:r>
        <w:t xml:space="preserve"> Ich verweise dazu auf meine Solon Texte: 2014, 2016</w:t>
      </w:r>
      <w:r w:rsidRPr="00FC195E">
        <w:t>a</w:t>
      </w:r>
      <w:r>
        <w:t xml:space="preserve"> und 2016</w:t>
      </w:r>
      <w:r w:rsidRPr="00FC195E">
        <w:t>b</w:t>
      </w:r>
      <w:r>
        <w:t xml:space="preserve">. </w:t>
      </w:r>
    </w:p>
  </w:footnote>
  <w:footnote w:id="20">
    <w:p w:rsidR="0087466D" w:rsidRDefault="0087466D">
      <w:pPr>
        <w:pStyle w:val="Funotentext"/>
      </w:pPr>
      <w:r w:rsidRPr="0000649F">
        <w:footnoteRef/>
      </w:r>
      <w:r>
        <w:t xml:space="preserve"> Es gab große Forschungsprojekte, die an der Antike vorbeigingen. Als Beispiel erwähne ich: Richard van Dülmen (Hg.), Entdeckung des ICH (2001). Ich bin darauf in meinem ‚Graeca’-Projekt eingegangen; s. Bd. I, Kap. I 2 (S. 115): ‚Die Entwicklung des Individuums – Individualität in der Antike’ (Max Horkheimer) und Bd. II/1, Kap. II 1 (S. 40 ff): ‚Van Dülmens Irrtum’.</w:t>
      </w:r>
    </w:p>
  </w:footnote>
  <w:footnote w:id="21">
    <w:p w:rsidR="0087466D" w:rsidRDefault="0087466D">
      <w:pPr>
        <w:pStyle w:val="Funotentext"/>
      </w:pPr>
      <w:r>
        <w:rPr>
          <w:rStyle w:val="Funotenzeichen"/>
        </w:rPr>
        <w:footnoteRef/>
      </w:r>
      <w:r>
        <w:t xml:space="preserve"> Vgl. Eva Illouz 2012/2013, 30. – Im alten Ägypten war beispielsweise die Rechtsstellung von Frauen bereits hoch entwickelt; dazu Allam (2005, 116) und Lippert (2008, 14 ff, 35 f, 42 f, 57 ff, 66 ff, 115 ff und 166 ff). </w:t>
      </w:r>
    </w:p>
  </w:footnote>
  <w:footnote w:id="22">
    <w:p w:rsidR="0087466D" w:rsidRPr="007213B7" w:rsidRDefault="0087466D">
      <w:pPr>
        <w:pStyle w:val="Funotentext"/>
        <w:rPr>
          <w:lang w:val="de-AT"/>
        </w:rPr>
      </w:pPr>
      <w:r>
        <w:rPr>
          <w:rStyle w:val="Funotenzeichen"/>
        </w:rPr>
        <w:footnoteRef/>
      </w:r>
      <w:r>
        <w:t xml:space="preserve"> Baltrusch 1998, 80 ff und Clauss 1983, 8 u. 21.</w:t>
      </w:r>
    </w:p>
  </w:footnote>
  <w:footnote w:id="23">
    <w:p w:rsidR="0087466D" w:rsidRPr="00E2459B" w:rsidRDefault="0087466D">
      <w:pPr>
        <w:pStyle w:val="Funotentext"/>
      </w:pPr>
      <w:r w:rsidRPr="00E2459B">
        <w:rPr>
          <w:rStyle w:val="Funotenzeichen"/>
          <w:rFonts w:ascii="Calibri" w:hAnsi="Calibri"/>
        </w:rPr>
        <w:footnoteRef/>
      </w:r>
      <w:r w:rsidRPr="00E2459B">
        <w:t xml:space="preserve"> </w:t>
      </w:r>
      <w:r w:rsidRPr="00E2459B">
        <w:rPr>
          <w:lang w:val="de-AT"/>
        </w:rPr>
        <w:t xml:space="preserve">So </w:t>
      </w:r>
      <w:r w:rsidRPr="00E2459B">
        <w:t>etwa</w:t>
      </w:r>
      <w:r w:rsidRPr="00E2459B">
        <w:rPr>
          <w:lang w:val="de-AT"/>
        </w:rPr>
        <w:t xml:space="preserve"> </w:t>
      </w:r>
      <w:r w:rsidRPr="00E2459B">
        <w:rPr>
          <w:i/>
          <w:color w:val="FF0000"/>
        </w:rPr>
        <w:t>Huntington</w:t>
      </w:r>
      <w:r w:rsidRPr="00E2459B">
        <w:t xml:space="preserve"> 102 f: Problematische Einordnung der Entstehung des Individuums/Individualismus (er unterscheidet nicht klar zw. diesen Begriffen!) im 14. und 15. Jh. </w:t>
      </w:r>
      <w:r>
        <w:t>– A</w:t>
      </w:r>
      <w:r w:rsidRPr="00E2459B">
        <w:t xml:space="preserve">benteuerliche Thesen vertritt H. J. Berman (1995), die </w:t>
      </w:r>
      <w:r w:rsidRPr="00E2459B">
        <w:rPr>
          <w:i/>
          <w:color w:val="FF0000"/>
        </w:rPr>
        <w:t>Th. Duve</w:t>
      </w:r>
      <w:r w:rsidRPr="00E2459B">
        <w:t xml:space="preserve"> (2012)</w:t>
      </w:r>
      <w:r>
        <w:t xml:space="preserve">, Leiter des </w:t>
      </w:r>
      <w:r w:rsidRPr="00E2459B">
        <w:t>Frankfurter MPI</w:t>
      </w:r>
      <w:r>
        <w:t xml:space="preserve"> für Europäische Rechtsgeschichte</w:t>
      </w:r>
      <w:r w:rsidRPr="00E2459B">
        <w:t xml:space="preserve"> interessant findet.</w:t>
      </w:r>
    </w:p>
  </w:footnote>
  <w:footnote w:id="24">
    <w:p w:rsidR="0087466D" w:rsidRPr="007A5544" w:rsidRDefault="0087466D">
      <w:pPr>
        <w:pStyle w:val="Funotentext"/>
        <w:rPr>
          <w:lang w:val="de-AT"/>
        </w:rPr>
      </w:pPr>
      <w:r>
        <w:rPr>
          <w:rStyle w:val="Funotenzeichen"/>
        </w:rPr>
        <w:footnoteRef/>
      </w:r>
      <w:r>
        <w:t xml:space="preserve"> </w:t>
      </w:r>
      <w:r>
        <w:rPr>
          <w:lang w:val="de-AT"/>
        </w:rPr>
        <w:t>1988, 99.</w:t>
      </w:r>
    </w:p>
  </w:footnote>
  <w:footnote w:id="25">
    <w:p w:rsidR="0087466D" w:rsidRPr="007616B3" w:rsidRDefault="0087466D">
      <w:pPr>
        <w:pStyle w:val="Funotentext"/>
        <w:rPr>
          <w:lang w:val="de-AT"/>
        </w:rPr>
      </w:pPr>
      <w:r>
        <w:rPr>
          <w:rStyle w:val="Funotenzeichen"/>
        </w:rPr>
        <w:footnoteRef/>
      </w:r>
      <w:r>
        <w:t xml:space="preserve"> </w:t>
      </w:r>
      <w:r>
        <w:rPr>
          <w:lang w:val="de-AT"/>
        </w:rPr>
        <w:t>Zur schwierigen erbrechtlichen Entwicklung: ,Graeca‘, Bd. II/1, Kap. II 10: ‚</w:t>
      </w:r>
      <w:r w:rsidRPr="007A5544">
        <w:rPr>
          <w:lang w:val="de-AT"/>
        </w:rPr>
        <w:t>Erbrecht – Entwicklung der Verfügungen von Todes wegen</w:t>
      </w:r>
      <w:r>
        <w:rPr>
          <w:lang w:val="de-AT"/>
        </w:rPr>
        <w:t xml:space="preserve">‘ (S. 496 ff). </w:t>
      </w:r>
    </w:p>
  </w:footnote>
  <w:footnote w:id="26">
    <w:p w:rsidR="0087466D" w:rsidRDefault="0087466D">
      <w:pPr>
        <w:pStyle w:val="Funotentext"/>
      </w:pPr>
      <w:r>
        <w:rPr>
          <w:rStyle w:val="Funotenzeichen"/>
        </w:rPr>
        <w:footnoteRef/>
      </w:r>
      <w:r>
        <w:t xml:space="preserve"> </w:t>
      </w:r>
      <w:r>
        <w:rPr>
          <w:lang w:val="de-AT"/>
        </w:rPr>
        <w:t xml:space="preserve">Dazu ‚Graeca‘, Bd. II/1, Kap. </w:t>
      </w:r>
      <w:r w:rsidR="00EE234B">
        <w:rPr>
          <w:lang w:val="de-AT"/>
        </w:rPr>
        <w:t>II</w:t>
      </w:r>
      <w:r>
        <w:rPr>
          <w:lang w:val="de-AT"/>
        </w:rPr>
        <w:t xml:space="preserve"> 1 u. meine Solon</w:t>
      </w:r>
      <w:r w:rsidR="00EE234B">
        <w:rPr>
          <w:lang w:val="de-AT"/>
        </w:rPr>
        <w:t>-</w:t>
      </w:r>
      <w:r>
        <w:rPr>
          <w:lang w:val="de-AT"/>
        </w:rPr>
        <w:t xml:space="preserve">Texte (2014, </w:t>
      </w:r>
      <w:r w:rsidRPr="00EE234B">
        <w:rPr>
          <w:lang w:val="de-AT"/>
        </w:rPr>
        <w:t>2016a u. 2016b).</w:t>
      </w:r>
    </w:p>
  </w:footnote>
  <w:footnote w:id="27">
    <w:p w:rsidR="0087466D" w:rsidRPr="003A5A8E" w:rsidRDefault="0087466D">
      <w:pPr>
        <w:pStyle w:val="Funotentext"/>
        <w:rPr>
          <w:lang w:val="de-AT"/>
        </w:rPr>
      </w:pPr>
      <w:r>
        <w:rPr>
          <w:rStyle w:val="Funotenzeichen"/>
        </w:rPr>
        <w:footnoteRef/>
      </w:r>
      <w:r>
        <w:t xml:space="preserve"> </w:t>
      </w:r>
      <w:r>
        <w:rPr>
          <w:lang w:val="de-AT"/>
        </w:rPr>
        <w:t>Dazu anschließend noch mehr; vgl. auch: Demokratie als kulturelles Lernen (2017, 133).</w:t>
      </w:r>
    </w:p>
  </w:footnote>
  <w:footnote w:id="28">
    <w:p w:rsidR="0087466D" w:rsidRPr="007616B3" w:rsidRDefault="0087466D">
      <w:pPr>
        <w:pStyle w:val="Funotentext"/>
        <w:rPr>
          <w:lang w:val="de-AT"/>
        </w:rPr>
      </w:pPr>
      <w:r>
        <w:rPr>
          <w:rStyle w:val="Funotenzeichen"/>
        </w:rPr>
        <w:footnoteRef/>
      </w:r>
      <w:r>
        <w:t xml:space="preserve"> </w:t>
      </w:r>
      <w:r>
        <w:rPr>
          <w:lang w:val="de-AT"/>
        </w:rPr>
        <w:t xml:space="preserve">Dazu </w:t>
      </w:r>
      <w:r w:rsidR="00EE234B">
        <w:rPr>
          <w:lang w:val="de-AT"/>
        </w:rPr>
        <w:t>im Glossar von ‚Graeca‘.</w:t>
      </w:r>
    </w:p>
  </w:footnote>
  <w:footnote w:id="29">
    <w:p w:rsidR="0087466D" w:rsidRPr="007616B3" w:rsidRDefault="0087466D">
      <w:pPr>
        <w:pStyle w:val="Funotentext"/>
        <w:rPr>
          <w:lang w:val="de-AT"/>
        </w:rPr>
      </w:pPr>
      <w:r>
        <w:rPr>
          <w:rStyle w:val="Funotenzeichen"/>
        </w:rPr>
        <w:footnoteRef/>
      </w:r>
      <w:r>
        <w:t xml:space="preserve"> </w:t>
      </w:r>
      <w:r w:rsidRPr="007616B3">
        <w:rPr>
          <w:lang w:val="de-AT"/>
        </w:rPr>
        <w:t>Denken Sie nur an die Reaktionen der ost-europäischen Staaten in der Flüchtlingsfrage oder Englands Haltung gegenüber der EU! Die nationale, europäische und internationale Politik hat dem Rech</w:t>
      </w:r>
      <w:r w:rsidRPr="007616B3">
        <w:rPr>
          <w:lang w:val="de-AT"/>
        </w:rPr>
        <w:softHyphen/>
        <w:t>nung zu tragen!</w:t>
      </w:r>
    </w:p>
  </w:footnote>
  <w:footnote w:id="30">
    <w:p w:rsidR="0087466D" w:rsidRPr="00885B8E" w:rsidRDefault="0087466D">
      <w:pPr>
        <w:pStyle w:val="Funotentext"/>
        <w:rPr>
          <w:lang w:val="de-AT"/>
        </w:rPr>
      </w:pPr>
      <w:r>
        <w:rPr>
          <w:rStyle w:val="Funotenzeichen"/>
        </w:rPr>
        <w:footnoteRef/>
      </w:r>
      <w:r>
        <w:t xml:space="preserve"> </w:t>
      </w:r>
      <w:r>
        <w:rPr>
          <w:lang w:val="de-AT"/>
        </w:rPr>
        <w:t xml:space="preserve">Rechtlich hat dies ua. dazu geführt, dass auch die Polis nach menschlichem Vorbild eine eigene Rechtspersönlichkeit erlangte, zur juristischen Person wurde; </w:t>
      </w:r>
      <w:r w:rsidRPr="00F97880">
        <w:rPr>
          <w:highlight w:val="yellow"/>
          <w:lang w:val="de-AT"/>
        </w:rPr>
        <w:sym w:font="Greek Old Face C" w:char="F073"/>
      </w:r>
      <w:r w:rsidRPr="00F97880">
        <w:rPr>
          <w:highlight w:val="yellow"/>
          <w:lang w:val="de-AT"/>
        </w:rPr>
        <w:sym w:font="Greek Old Face C" w:char="F0EE"/>
      </w:r>
      <w:r w:rsidRPr="00F97880">
        <w:rPr>
          <w:highlight w:val="yellow"/>
          <w:lang w:val="de-AT"/>
        </w:rPr>
        <w:sym w:font="Greek Old Face C" w:char="F06D"/>
      </w:r>
      <w:r w:rsidRPr="00F97880">
        <w:rPr>
          <w:highlight w:val="yellow"/>
          <w:lang w:val="de-AT"/>
        </w:rPr>
        <w:sym w:font="Greek Old Face C" w:char="F061"/>
      </w:r>
      <w:r w:rsidRPr="00F97880">
        <w:rPr>
          <w:highlight w:val="yellow"/>
          <w:lang w:val="de-AT"/>
        </w:rPr>
        <w:t xml:space="preserve"> </w:t>
      </w:r>
      <w:r w:rsidRPr="00F97880">
        <w:rPr>
          <w:highlight w:val="yellow"/>
          <w:lang w:val="de-AT"/>
        </w:rPr>
        <w:sym w:font="Greek Old Face C" w:char="F070"/>
      </w:r>
      <w:r w:rsidRPr="00F97880">
        <w:rPr>
          <w:highlight w:val="yellow"/>
          <w:lang w:val="de-AT"/>
        </w:rPr>
        <w:sym w:font="Greek Old Face C" w:char="F0D2"/>
      </w:r>
      <w:r w:rsidRPr="00F97880">
        <w:rPr>
          <w:highlight w:val="yellow"/>
          <w:lang w:val="de-AT"/>
        </w:rPr>
        <w:sym w:font="Greek Old Face C" w:char="F06C"/>
      </w:r>
      <w:r w:rsidRPr="00F97880">
        <w:rPr>
          <w:highlight w:val="yellow"/>
          <w:lang w:val="de-AT"/>
        </w:rPr>
        <w:sym w:font="Greek Old Face C" w:char="F065"/>
      </w:r>
      <w:r w:rsidRPr="00F97880">
        <w:rPr>
          <w:highlight w:val="yellow"/>
          <w:lang w:val="de-AT"/>
        </w:rPr>
        <w:sym w:font="Greek Old Face C" w:char="F077"/>
      </w:r>
      <w:r w:rsidRPr="00F97880">
        <w:rPr>
          <w:highlight w:val="yellow"/>
          <w:lang w:val="de-AT"/>
        </w:rPr>
        <w:sym w:font="Greek Old Face C" w:char="F06A"/>
      </w:r>
      <w:r>
        <w:rPr>
          <w:lang w:val="de-AT"/>
        </w:rPr>
        <w:t>.</w:t>
      </w:r>
    </w:p>
  </w:footnote>
  <w:footnote w:id="31">
    <w:p w:rsidR="0087466D" w:rsidRDefault="0087466D" w:rsidP="00494B76">
      <w:pPr>
        <w:pStyle w:val="Funotentext"/>
      </w:pPr>
      <w:r>
        <w:rPr>
          <w:rStyle w:val="Funotenzeichen"/>
        </w:rPr>
        <w:footnoteRef/>
      </w:r>
      <w:r>
        <w:t xml:space="preserve"> Zur Entstehung von ,</w:t>
      </w:r>
      <w:r w:rsidRPr="00A30488">
        <w:t>Recht</w:t>
      </w:r>
      <w:r>
        <w:t>‘ und ,</w:t>
      </w:r>
      <w:r w:rsidRPr="00A30488">
        <w:t>Normativität</w:t>
      </w:r>
      <w:r>
        <w:t xml:space="preserve">‘: Niedenzu (2012); zum </w:t>
      </w:r>
      <w:r w:rsidRPr="00A30488">
        <w:t>,Nomologischen Wissen‘</w:t>
      </w:r>
      <w:r>
        <w:t xml:space="preserve">: meine Ausführungen, in: ,Graeca‘, Bd. III/1, Kap. III 4, S. 134 ff. </w:t>
      </w:r>
    </w:p>
  </w:footnote>
  <w:footnote w:id="32">
    <w:p w:rsidR="0087466D" w:rsidRPr="00896E0B" w:rsidRDefault="0087466D">
      <w:pPr>
        <w:pStyle w:val="Funotentext"/>
        <w:rPr>
          <w:lang w:val="de-AT"/>
        </w:rPr>
      </w:pPr>
      <w:r>
        <w:rPr>
          <w:rStyle w:val="Funotenzeichen"/>
        </w:rPr>
        <w:footnoteRef/>
      </w:r>
      <w:r>
        <w:t xml:space="preserve"> </w:t>
      </w:r>
      <w:r>
        <w:rPr>
          <w:lang w:val="de-AT"/>
        </w:rPr>
        <w:t xml:space="preserve">Wir erleben das in der Flüchtlingskrise drastisch! </w:t>
      </w:r>
    </w:p>
  </w:footnote>
  <w:footnote w:id="33">
    <w:p w:rsidR="0087466D" w:rsidRPr="00C422AB" w:rsidRDefault="0087466D">
      <w:pPr>
        <w:pStyle w:val="Funotentext"/>
        <w:rPr>
          <w:lang w:val="de-AT"/>
        </w:rPr>
      </w:pPr>
      <w:r>
        <w:rPr>
          <w:rStyle w:val="Funotenzeichen"/>
        </w:rPr>
        <w:footnoteRef/>
      </w:r>
      <w:r>
        <w:rPr>
          <w:lang w:val="de-AT"/>
        </w:rPr>
        <w:t xml:space="preserve"> Zur Paideia: W. Jaeger I (1934/1959</w:t>
      </w:r>
      <w:r>
        <w:rPr>
          <w:vertAlign w:val="superscript"/>
          <w:lang w:val="de-AT"/>
        </w:rPr>
        <w:t>4</w:t>
      </w:r>
      <w:r>
        <w:rPr>
          <w:lang w:val="de-AT"/>
        </w:rPr>
        <w:t xml:space="preserve">), II </w:t>
      </w:r>
      <w:r>
        <w:rPr>
          <w:sz w:val="18"/>
          <w:lang w:val="de-AT"/>
        </w:rPr>
        <w:t>1944/1959</w:t>
      </w:r>
      <w:r>
        <w:rPr>
          <w:sz w:val="18"/>
          <w:vertAlign w:val="superscript"/>
          <w:lang w:val="de-AT"/>
        </w:rPr>
        <w:t>3</w:t>
      </w:r>
      <w:r>
        <w:rPr>
          <w:lang w:val="de-AT"/>
        </w:rPr>
        <w:t>), III (1947/1959</w:t>
      </w:r>
      <w:r>
        <w:rPr>
          <w:vertAlign w:val="superscript"/>
          <w:lang w:val="de-AT"/>
        </w:rPr>
        <w:t>3</w:t>
      </w:r>
      <w:r>
        <w:rPr>
          <w:lang w:val="de-AT"/>
        </w:rPr>
        <w:t>); zur Bedeutung der griechischen Paideia für das junge Christentum (und dann auch den Islam): W. Jaeger (1963), H. Hunger (1963) und meine Zusammenfassung in ,Graeca‘, Bd. III/2, Kap. VI 4: ,Griechisch-römische Zeittafel‘ (nach dem Jahr 1453): ,Christentum und antike Kultur‘ – zur Individualisierung im Hellenismus: Bd. II/2, Kap. II</w:t>
      </w:r>
      <w:r w:rsidR="00EE234B">
        <w:rPr>
          <w:lang w:val="de-AT"/>
        </w:rPr>
        <w:t xml:space="preserve"> 19-21</w:t>
      </w:r>
      <w:r>
        <w:rPr>
          <w:lang w:val="de-AT"/>
        </w:rPr>
        <w:t xml:space="preserve">.    </w:t>
      </w:r>
    </w:p>
  </w:footnote>
  <w:footnote w:id="34">
    <w:p w:rsidR="0087466D" w:rsidRPr="002F09BE" w:rsidRDefault="0087466D">
      <w:pPr>
        <w:pStyle w:val="Funotentext"/>
        <w:rPr>
          <w:lang w:val="de-AT"/>
        </w:rPr>
      </w:pPr>
      <w:r>
        <w:rPr>
          <w:rStyle w:val="Funotenzeichen"/>
        </w:rPr>
        <w:footnoteRef/>
      </w:r>
      <w:r>
        <w:t xml:space="preserve"> </w:t>
      </w:r>
      <w:r>
        <w:rPr>
          <w:lang w:val="de-AT"/>
        </w:rPr>
        <w:t xml:space="preserve">In anderen Kulturen ist das noch heute so. </w:t>
      </w:r>
    </w:p>
  </w:footnote>
  <w:footnote w:id="35">
    <w:p w:rsidR="0087466D" w:rsidRDefault="0087466D">
      <w:pPr>
        <w:pStyle w:val="Funotentext"/>
      </w:pPr>
      <w:r>
        <w:rPr>
          <w:rStyle w:val="Funotenzeichen"/>
        </w:rPr>
        <w:footnoteRef/>
      </w:r>
      <w:r>
        <w:t xml:space="preserve"> </w:t>
      </w:r>
      <w:r>
        <w:rPr>
          <w:lang w:val="de-AT"/>
        </w:rPr>
        <w:t xml:space="preserve">Dazu in meinem Beitrag: ,Recht und Religion bei Oswald Spengler‘ (2018) und meine Hinweise in ,Graeca‘, Bd. III/1, Kap. III 2 (S. 96 ff: ,Recht und Kunst‘, insbesondere 101 f: Langsamkeit des Rechts/Entschleunigung).  </w:t>
      </w:r>
    </w:p>
  </w:footnote>
  <w:footnote w:id="36">
    <w:p w:rsidR="0087466D" w:rsidRDefault="0087466D">
      <w:pPr>
        <w:pStyle w:val="Funotentext"/>
      </w:pPr>
      <w:r>
        <w:rPr>
          <w:rStyle w:val="Funotenzeichen"/>
        </w:rPr>
        <w:footnoteRef/>
      </w:r>
      <w:r>
        <w:t xml:space="preserve"> </w:t>
      </w:r>
      <w:r>
        <w:rPr>
          <w:lang w:val="de-AT"/>
        </w:rPr>
        <w:t xml:space="preserve">Vgl. das vorangestellte Motto von Horkheimer (S. 1). – Am ursprünglichen ,Modell des </w:t>
      </w:r>
      <w:r w:rsidRPr="009325B8">
        <w:rPr>
          <w:lang w:val="de-AT"/>
        </w:rPr>
        <w:t>Helden</w:t>
      </w:r>
      <w:r>
        <w:rPr>
          <w:lang w:val="de-AT"/>
        </w:rPr>
        <w:t>‘ (von dem Horkheimer noch ausgeht) hat sich bis heute wenig geändert, wie wir aus Politik, Wirtschaft, Sport und Kultur sehen. Das zeitlich mitunter praktizierte Ersatz- oder Ergänzungsmodell des Vorbildes, der Autorität hat nur vorübergehende Bedeutung erlangt. Heute zählt nur</w:t>
      </w:r>
      <w:r w:rsidR="00EE234B">
        <w:rPr>
          <w:lang w:val="de-AT"/>
        </w:rPr>
        <w:t xml:space="preserve"> mehr</w:t>
      </w:r>
      <w:r>
        <w:rPr>
          <w:lang w:val="de-AT"/>
        </w:rPr>
        <w:t xml:space="preserve"> der Erfolg! Auch die Religionen bedienen sich dieses Modells und haben keinen neuen Typus geschaffen. </w:t>
      </w:r>
    </w:p>
  </w:footnote>
  <w:footnote w:id="37">
    <w:p w:rsidR="0087466D" w:rsidRDefault="0087466D">
      <w:pPr>
        <w:pStyle w:val="Funotentext"/>
      </w:pPr>
      <w:r>
        <w:rPr>
          <w:rStyle w:val="Funotenzeichen"/>
        </w:rPr>
        <w:footnoteRef/>
      </w:r>
      <w:r>
        <w:t xml:space="preserve"> </w:t>
      </w:r>
      <w:r>
        <w:rPr>
          <w:lang w:val="de-AT"/>
        </w:rPr>
        <w:t xml:space="preserve">Auf diese bahnbrechende griechische Entwicklung zum Individuum (als Rechtsperson), wozu in der Archaik von Homer, Hesiod und dann Drakon, Solon, Kleisthenes, Perikles, ua. die Grundlagen gelegt wurden, hat Elke Stein-Hölkeskamp  in ihrem Buch (2015) einzugehen vergessen, hat übersehen, dass die wesentlichen Grundlagen bereits in der Archaik gelegt wurden. </w:t>
      </w:r>
    </w:p>
  </w:footnote>
  <w:footnote w:id="38">
    <w:p w:rsidR="0087466D" w:rsidRDefault="0087466D">
      <w:pPr>
        <w:pStyle w:val="Funotentext"/>
      </w:pPr>
      <w:r>
        <w:rPr>
          <w:rStyle w:val="Funotenzeichen"/>
        </w:rPr>
        <w:footnoteRef/>
      </w:r>
      <w:r>
        <w:t xml:space="preserve"> </w:t>
      </w:r>
      <w:r>
        <w:rPr>
          <w:lang w:val="de-AT"/>
        </w:rPr>
        <w:t>Dazu ,Graeca‘, Bd. II/1, insbesondere Kap. II 9 und 10 sowie in: ‚Demokratie als kulturelles Lernen‘ (2017).</w:t>
      </w:r>
    </w:p>
  </w:footnote>
  <w:footnote w:id="39">
    <w:p w:rsidR="0087466D" w:rsidRPr="00F348F5" w:rsidRDefault="0087466D">
      <w:pPr>
        <w:pStyle w:val="Funotentext"/>
        <w:rPr>
          <w:lang w:val="de-AT"/>
        </w:rPr>
      </w:pPr>
      <w:r>
        <w:rPr>
          <w:rStyle w:val="Funotenzeichen"/>
        </w:rPr>
        <w:footnoteRef/>
      </w:r>
      <w:r>
        <w:t xml:space="preserve"> </w:t>
      </w:r>
      <w:r>
        <w:rPr>
          <w:lang w:val="de-AT"/>
        </w:rPr>
        <w:t>Seit Solon bestand Gerichtszwang, dh. man konnte seine (vermeintlichen) Rechtsansprüche nur noch vor den staatlichen Behörden/Gerichten geltend machen. Damit wurde der letzte Rest der Selbsthilfe beseitigt, den Drakon noch hatte bestehen lassen.</w:t>
      </w:r>
    </w:p>
  </w:footnote>
  <w:footnote w:id="40">
    <w:p w:rsidR="0087466D" w:rsidRDefault="0087466D" w:rsidP="006C423B">
      <w:pPr>
        <w:pStyle w:val="Funotentext"/>
      </w:pPr>
      <w:r>
        <w:rPr>
          <w:rStyle w:val="Funotenzeichen"/>
        </w:rPr>
        <w:footnoteRef/>
      </w:r>
      <w:r>
        <w:t xml:space="preserve"> Abgedruckt in ‚Graeca’, Bd. II/1, S. V; behandelt in Bd. II/2, Kap. II 14.</w:t>
      </w:r>
    </w:p>
  </w:footnote>
  <w:footnote w:id="41">
    <w:p w:rsidR="0087466D" w:rsidRPr="003D0B7B" w:rsidRDefault="0087466D">
      <w:pPr>
        <w:pStyle w:val="Funotentext"/>
        <w:rPr>
          <w:lang w:val="de-AT"/>
        </w:rPr>
      </w:pPr>
      <w:r>
        <w:rPr>
          <w:rStyle w:val="Funotenzeichen"/>
        </w:rPr>
        <w:footnoteRef/>
      </w:r>
      <w:r>
        <w:t xml:space="preserve"> </w:t>
      </w:r>
      <w:r>
        <w:rPr>
          <w:lang w:val="de-AT"/>
        </w:rPr>
        <w:t xml:space="preserve">Das mag ,theoretisch‘ selbstverständlich sein, für die ,praktische‘ rechtshistorische Arbeit ist es das –  wie die Erfahrung zeigt – jedoch nicht! </w:t>
      </w:r>
    </w:p>
  </w:footnote>
  <w:footnote w:id="42">
    <w:p w:rsidR="0087466D" w:rsidRDefault="0087466D">
      <w:pPr>
        <w:pStyle w:val="Funotentext"/>
      </w:pPr>
      <w:r>
        <w:rPr>
          <w:rStyle w:val="Funotenzeichen"/>
        </w:rPr>
        <w:footnoteRef/>
      </w:r>
      <w:r>
        <w:t xml:space="preserve"> </w:t>
      </w:r>
      <w:r>
        <w:rPr>
          <w:lang w:val="de-AT"/>
        </w:rPr>
        <w:t>Vgl. auch E. Seidl 1968, 51. – Das gilt aber auch für die von der ‚Rechtsfähigkeit‘ abgeleiteten Rechtsbegriffe der ,</w:t>
      </w:r>
      <w:r w:rsidRPr="00366DD1">
        <w:rPr>
          <w:lang w:val="de-AT"/>
        </w:rPr>
        <w:t>Geschäfts</w:t>
      </w:r>
      <w:r>
        <w:rPr>
          <w:lang w:val="de-AT"/>
        </w:rPr>
        <w:t>-‚ und ,</w:t>
      </w:r>
      <w:r w:rsidRPr="006A4A09">
        <w:rPr>
          <w:lang w:val="de-AT"/>
        </w:rPr>
        <w:t>Deliktsfähigkeit‘!</w:t>
      </w:r>
    </w:p>
  </w:footnote>
  <w:footnote w:id="43">
    <w:p w:rsidR="0087466D" w:rsidRPr="00505A64" w:rsidRDefault="0087466D">
      <w:pPr>
        <w:pStyle w:val="Funotentext"/>
        <w:rPr>
          <w:lang w:val="de-AT"/>
        </w:rPr>
      </w:pPr>
      <w:r>
        <w:rPr>
          <w:rStyle w:val="Funotenzeichen"/>
        </w:rPr>
        <w:footnoteRef/>
      </w:r>
      <w:r>
        <w:t xml:space="preserve"> </w:t>
      </w:r>
      <w:r>
        <w:rPr>
          <w:lang w:val="de-AT"/>
        </w:rPr>
        <w:t>1997, 246.</w:t>
      </w:r>
    </w:p>
  </w:footnote>
  <w:footnote w:id="44">
    <w:p w:rsidR="00EE234B" w:rsidRPr="00EE234B" w:rsidRDefault="00EE234B">
      <w:pPr>
        <w:pStyle w:val="Funotentext"/>
        <w:rPr>
          <w:lang w:val="de-AT"/>
        </w:rPr>
      </w:pPr>
      <w:r>
        <w:rPr>
          <w:rStyle w:val="Funotenzeichen"/>
        </w:rPr>
        <w:footnoteRef/>
      </w:r>
      <w:r>
        <w:t xml:space="preserve"> </w:t>
      </w:r>
      <w:r>
        <w:rPr>
          <w:lang w:val="de-AT"/>
        </w:rPr>
        <w:t>Dazu nunmehr: ‚Demokratie als kulturelles Lernen‘ (2017).</w:t>
      </w:r>
    </w:p>
  </w:footnote>
  <w:footnote w:id="45">
    <w:p w:rsidR="0087466D" w:rsidRDefault="0087466D">
      <w:pPr>
        <w:pStyle w:val="Funotentext"/>
      </w:pPr>
      <w:r>
        <w:rPr>
          <w:rStyle w:val="Funotenzeichen"/>
        </w:rPr>
        <w:footnoteRef/>
      </w:r>
      <w:r>
        <w:t xml:space="preserve"> Dazu anschließend mehr!</w:t>
      </w:r>
    </w:p>
  </w:footnote>
  <w:footnote w:id="46">
    <w:p w:rsidR="0087466D" w:rsidRDefault="0087466D" w:rsidP="002C2C7E">
      <w:pPr>
        <w:pStyle w:val="Funotentext"/>
      </w:pPr>
      <w:r>
        <w:rPr>
          <w:rStyle w:val="Funotenzeichen"/>
        </w:rPr>
        <w:footnoteRef/>
      </w:r>
      <w:r>
        <w:t xml:space="preserve"> Ich gehe hier nicht auf das römisch rechtliche Modell der </w:t>
      </w:r>
      <w:r>
        <w:rPr>
          <w:lang w:val="de-AT"/>
        </w:rPr>
        <w:t xml:space="preserve">adjektizischen Klagen ein und verweise dazu auf </w:t>
      </w:r>
      <w:r w:rsidR="00EE234B">
        <w:rPr>
          <w:lang w:val="de-AT"/>
        </w:rPr>
        <w:t>Kaser/Knütel 2008, 269 ff: Haftung aus Geschäften der Gewaltunterworfenen und Angestellten.</w:t>
      </w:r>
      <w:r>
        <w:rPr>
          <w:lang w:val="de-AT"/>
        </w:rPr>
        <w:t xml:space="preserve"> </w:t>
      </w:r>
      <w:r>
        <w:t xml:space="preserve">   – Die </w:t>
      </w:r>
      <w:r w:rsidRPr="00DC048F">
        <w:t>didaktische Pflege des römischen Rechts</w:t>
      </w:r>
      <w:r>
        <w:t xml:space="preserve"> ist bis heute nur möglich, weil – durchaus im Sinne des römischen Rechts (legal isolationism!) – nahezu der gesamte politisch-gesellschaftliche Hintergrund ausgeblendet bleibt, da er für weite Teile der römischen Geschichte unattraktiv, ja gefährlich und ab</w:t>
      </w:r>
      <w:r>
        <w:softHyphen/>
        <w:t>stoßend ist. Vgl. dazu ‚Graeca‘, Bd. I, Kap. I 3 (S. 123 ff): legal isolationism – anzustreben wäre eine Antike Rechtsgeschichte als Bildungsergänzung!</w:t>
      </w:r>
    </w:p>
  </w:footnote>
  <w:footnote w:id="47">
    <w:p w:rsidR="0087466D" w:rsidRPr="00DC048F" w:rsidRDefault="0087466D">
      <w:pPr>
        <w:pStyle w:val="Funotentext"/>
        <w:rPr>
          <w:lang w:val="de-AT"/>
        </w:rPr>
      </w:pPr>
      <w:r>
        <w:rPr>
          <w:rStyle w:val="Funotenzeichen"/>
        </w:rPr>
        <w:footnoteRef/>
      </w:r>
      <w:r>
        <w:t xml:space="preserve"> </w:t>
      </w:r>
      <w:r>
        <w:rPr>
          <w:lang w:val="de-AT"/>
        </w:rPr>
        <w:t xml:space="preserve">Vgl. dazu ,Graeca‘, Bd. III/2, Kap. VI 5: ,Klassik‘. </w:t>
      </w:r>
    </w:p>
  </w:footnote>
  <w:footnote w:id="48">
    <w:p w:rsidR="0087466D" w:rsidRDefault="0087466D">
      <w:pPr>
        <w:pStyle w:val="Funotentext"/>
      </w:pPr>
      <w:r>
        <w:rPr>
          <w:rStyle w:val="Funotenzeichen"/>
        </w:rPr>
        <w:footnoteRef/>
      </w:r>
      <w:r>
        <w:rPr>
          <w:lang w:val="de-AT"/>
        </w:rPr>
        <w:t xml:space="preserve"> Vgl.</w:t>
      </w:r>
      <w:r w:rsidRPr="0000649F">
        <w:rPr>
          <w:lang w:val="de-AT"/>
        </w:rPr>
        <w:t xml:space="preserve"> ‚Graeca’ Bd. I, Kap. </w:t>
      </w:r>
      <w:r w:rsidRPr="004B7757">
        <w:rPr>
          <w:lang w:val="de-AT"/>
        </w:rPr>
        <w:t>I 6 (S. 167 ff)</w:t>
      </w:r>
      <w:r>
        <w:rPr>
          <w:lang w:val="de-AT"/>
        </w:rPr>
        <w:t xml:space="preserve"> – Ich verweise als Beispiel auf das Verfahrensrecht, in dem der ‚Richter‘ eine zentrale Stellung einnimmt, dessen Herkunft aber zutreffend aus der väterlichen Rolle in Familie und Verwandtschaft hergeleitet wird; dazu meine ‚Einleitung‘ zur 6. Tagung für ‚Lebendige Rechtsgeschichte‘ (2011): ‚Verfahrensrecht als Zivilisierungsprojekt‘ (2015, 1 ff)</w:t>
      </w:r>
      <w:r w:rsidRPr="004B7757">
        <w:rPr>
          <w:lang w:val="de-AT"/>
        </w:rPr>
        <w:t>.</w:t>
      </w:r>
    </w:p>
  </w:footnote>
  <w:footnote w:id="49">
    <w:p w:rsidR="0087466D" w:rsidRPr="00B94E50" w:rsidRDefault="0087466D">
      <w:pPr>
        <w:pStyle w:val="Funotentext"/>
        <w:rPr>
          <w:lang w:val="de-AT"/>
        </w:rPr>
      </w:pPr>
      <w:r>
        <w:rPr>
          <w:rStyle w:val="Funotenzeichen"/>
        </w:rPr>
        <w:footnoteRef/>
      </w:r>
      <w:r>
        <w:t xml:space="preserve"> </w:t>
      </w:r>
      <w:r>
        <w:rPr>
          <w:lang w:val="de-AT"/>
        </w:rPr>
        <w:t>Ich bringe Beispiele, strebe aber keine erschöpfende Aufzählung an.</w:t>
      </w:r>
    </w:p>
  </w:footnote>
  <w:footnote w:id="50">
    <w:p w:rsidR="0087466D" w:rsidRDefault="0087466D">
      <w:pPr>
        <w:pStyle w:val="Funotentext"/>
      </w:pPr>
      <w:r>
        <w:rPr>
          <w:rStyle w:val="Funotenzeichen"/>
        </w:rPr>
        <w:footnoteRef/>
      </w:r>
      <w:r>
        <w:t xml:space="preserve"> Dazu ‚Graeca’, Bd. III/2, Kap. VI 2b.</w:t>
      </w:r>
    </w:p>
  </w:footnote>
  <w:footnote w:id="51">
    <w:p w:rsidR="0087466D" w:rsidRDefault="0087466D">
      <w:pPr>
        <w:pStyle w:val="Funotentext"/>
      </w:pPr>
      <w:r>
        <w:rPr>
          <w:rStyle w:val="Funotenzeichen"/>
        </w:rPr>
        <w:footnoteRef/>
      </w:r>
      <w:r>
        <w:t xml:space="preserve"> Mehr dazu ‚Graeca’, Bd. II/2, Kap. II 19 (S. 296 ff).</w:t>
      </w:r>
    </w:p>
  </w:footnote>
  <w:footnote w:id="52">
    <w:p w:rsidR="0087466D" w:rsidRDefault="0087466D">
      <w:pPr>
        <w:pStyle w:val="Funotentext"/>
      </w:pPr>
      <w:r>
        <w:rPr>
          <w:rStyle w:val="Funotenzeichen"/>
        </w:rPr>
        <w:footnoteRef/>
      </w:r>
      <w:r>
        <w:t xml:space="preserve"> Dazu ausführlich ‚Graeca’, Bd. II/1, Kap. II 10 (S. 496 ff): ‚Zur Entwicklung der Verfügungen von Todes wegen‘.</w:t>
      </w:r>
    </w:p>
  </w:footnote>
  <w:footnote w:id="53">
    <w:p w:rsidR="0087466D" w:rsidRPr="00D5160C" w:rsidRDefault="0087466D">
      <w:pPr>
        <w:pStyle w:val="Funotentext"/>
        <w:rPr>
          <w:lang w:val="de-AT"/>
        </w:rPr>
      </w:pPr>
      <w:r>
        <w:rPr>
          <w:rStyle w:val="Funotenzeichen"/>
        </w:rPr>
        <w:footnoteRef/>
      </w:r>
      <w:r>
        <w:t xml:space="preserve"> </w:t>
      </w:r>
      <w:r>
        <w:rPr>
          <w:lang w:val="de-AT"/>
        </w:rPr>
        <w:t xml:space="preserve">Dazu ,Graeca‘, Bd. II/2, Kap. II 20 (S. 317 ff) und II 21 (S. 342 f): ,Bruck – Mentor moderner Rechtsgeschichte‘. – Es ist zu bedauern, dass Bruck auch an seinen deutschen Wirkungsstätten verdrängt und vergessen wurde! </w:t>
      </w:r>
    </w:p>
  </w:footnote>
  <w:footnote w:id="54">
    <w:p w:rsidR="0087466D" w:rsidRDefault="0087466D" w:rsidP="00D321F8">
      <w:pPr>
        <w:pStyle w:val="Funotentext"/>
      </w:pPr>
      <w:r>
        <w:rPr>
          <w:rStyle w:val="Funotenzeichen"/>
        </w:rPr>
        <w:footnoteRef/>
      </w:r>
      <w:r>
        <w:t xml:space="preserve"> </w:t>
      </w:r>
      <w:r>
        <w:rPr>
          <w:lang w:val="de-AT"/>
        </w:rPr>
        <w:t xml:space="preserve">Die der Schenkung entwicklungsgeschichtlich noch vorgelagerten </w:t>
      </w:r>
      <w:r w:rsidRPr="00440554">
        <w:rPr>
          <w:i/>
          <w:lang w:val="de-AT"/>
        </w:rPr>
        <w:t>entgeltfremdem</w:t>
      </w:r>
      <w:r>
        <w:rPr>
          <w:lang w:val="de-AT"/>
        </w:rPr>
        <w:t xml:space="preserve"> </w:t>
      </w:r>
      <w:r w:rsidRPr="00F16A56">
        <w:rPr>
          <w:i/>
          <w:lang w:val="de-AT"/>
        </w:rPr>
        <w:t>Geschäfte</w:t>
      </w:r>
      <w:r>
        <w:rPr>
          <w:lang w:val="de-AT"/>
        </w:rPr>
        <w:t xml:space="preserve"> (eine Entdeckung Franz Gschnitzers) und den sogenannten allgemeinen </w:t>
      </w:r>
      <w:r w:rsidRPr="00440554">
        <w:rPr>
          <w:i/>
          <w:lang w:val="de-AT"/>
        </w:rPr>
        <w:t>Gabentausch</w:t>
      </w:r>
      <w:r>
        <w:rPr>
          <w:lang w:val="de-AT"/>
        </w:rPr>
        <w:t xml:space="preserve"> </w:t>
      </w:r>
      <w:r>
        <w:t xml:space="preserve">(M. Mauss: 1925/1968 und B. Malinowski: 1922) </w:t>
      </w:r>
      <w:r>
        <w:rPr>
          <w:lang w:val="de-AT"/>
        </w:rPr>
        <w:t>kann ich hier nur erwähnen; S. Wagner-Hasel (2000) und demnächst in ‚Graeca’, Bd. III/2 Kap. VI 2b.</w:t>
      </w:r>
    </w:p>
  </w:footnote>
  <w:footnote w:id="55">
    <w:p w:rsidR="0087466D" w:rsidRPr="00965A61" w:rsidRDefault="0087466D" w:rsidP="0000649F">
      <w:pPr>
        <w:pStyle w:val="Listenabsatz"/>
        <w:ind w:left="0"/>
        <w:rPr>
          <w:rFonts w:ascii="Calibri" w:hAnsi="Calibri"/>
        </w:rPr>
      </w:pPr>
      <w:r>
        <w:rPr>
          <w:rStyle w:val="Funotenzeichen"/>
        </w:rPr>
        <w:footnoteRef/>
      </w:r>
      <w:r w:rsidRPr="004B7757">
        <w:t xml:space="preserve"> </w:t>
      </w:r>
      <w:r w:rsidRPr="00965A61">
        <w:rPr>
          <w:rStyle w:val="FunotentextZchn"/>
          <w:rFonts w:ascii="Calibri" w:hAnsi="Calibri"/>
          <w:sz w:val="20"/>
          <w:szCs w:val="20"/>
          <w:lang w:val="de-AT"/>
        </w:rPr>
        <w:t xml:space="preserve">Bd. I, Kap. </w:t>
      </w:r>
      <w:r w:rsidRPr="00965A61">
        <w:rPr>
          <w:rStyle w:val="FunotentextZchn"/>
          <w:rFonts w:ascii="Calibri" w:hAnsi="Calibri"/>
          <w:sz w:val="20"/>
          <w:szCs w:val="20"/>
        </w:rPr>
        <w:t>I 6 (S. 168 bei u. in Anm. 703): J. E. Lipsius ging 1893 in einem Vortrag auf einzelne dieser Fragen ein. Äußerst fruchtbar ist</w:t>
      </w:r>
      <w:r>
        <w:rPr>
          <w:rStyle w:val="FunotentextZchn"/>
          <w:rFonts w:ascii="Calibri" w:hAnsi="Calibri"/>
          <w:sz w:val="20"/>
          <w:szCs w:val="20"/>
        </w:rPr>
        <w:t xml:space="preserve"> wiederum</w:t>
      </w:r>
      <w:r w:rsidRPr="00965A61">
        <w:rPr>
          <w:rStyle w:val="FunotentextZchn"/>
          <w:rFonts w:ascii="Calibri" w:hAnsi="Calibri"/>
          <w:sz w:val="20"/>
          <w:szCs w:val="20"/>
        </w:rPr>
        <w:t xml:space="preserve"> das Werk von Eberhard F.</w:t>
      </w:r>
      <w:r w:rsidRPr="00965A61">
        <w:rPr>
          <w:rStyle w:val="FunotentextZchn"/>
          <w:rFonts w:ascii="Calibri" w:hAnsi="Calibri"/>
          <w:b/>
          <w:sz w:val="20"/>
          <w:szCs w:val="20"/>
        </w:rPr>
        <w:t xml:space="preserve"> </w:t>
      </w:r>
      <w:r w:rsidRPr="00965A61">
        <w:rPr>
          <w:rStyle w:val="FunotentextZchn"/>
          <w:rFonts w:ascii="Calibri" w:hAnsi="Calibri"/>
          <w:sz w:val="20"/>
          <w:szCs w:val="20"/>
        </w:rPr>
        <w:t xml:space="preserve">Bruck (1909a und b), (1911), (1914), (1926/1970): Dazu in ‚Graeca’, Kap. II 10, 19, 20 und 21. </w:t>
      </w:r>
    </w:p>
  </w:footnote>
  <w:footnote w:id="56">
    <w:p w:rsidR="0087466D" w:rsidRPr="00D7058A" w:rsidRDefault="0087466D">
      <w:pPr>
        <w:pStyle w:val="Funotentext"/>
        <w:rPr>
          <w:lang w:val="de-AT"/>
        </w:rPr>
      </w:pPr>
      <w:r>
        <w:rPr>
          <w:rStyle w:val="Funotenzeichen"/>
        </w:rPr>
        <w:footnoteRef/>
      </w:r>
      <w:r>
        <w:t xml:space="preserve"> </w:t>
      </w:r>
      <w:r>
        <w:rPr>
          <w:lang w:val="de-AT"/>
        </w:rPr>
        <w:t xml:space="preserve">Dazu ,Graeca‘, Bd. II/1, Kap. II 9 (S. 331 ff: 335). </w:t>
      </w:r>
    </w:p>
  </w:footnote>
  <w:footnote w:id="57">
    <w:p w:rsidR="0087466D" w:rsidRPr="00D7058A" w:rsidRDefault="0087466D">
      <w:pPr>
        <w:pStyle w:val="Funotentext"/>
        <w:rPr>
          <w:lang w:val="de-AT"/>
        </w:rPr>
      </w:pPr>
      <w:r>
        <w:rPr>
          <w:rStyle w:val="Funotenzeichen"/>
        </w:rPr>
        <w:footnoteRef/>
      </w:r>
      <w:r>
        <w:t xml:space="preserve"> </w:t>
      </w:r>
      <w:r>
        <w:rPr>
          <w:lang w:val="de-AT"/>
        </w:rPr>
        <w:t xml:space="preserve">Vgl. ,Graeca‘, Bd. II/1, Kap. II 9 (S. 556 f). </w:t>
      </w:r>
    </w:p>
  </w:footnote>
  <w:footnote w:id="58">
    <w:p w:rsidR="0087466D" w:rsidRPr="00D7058A" w:rsidRDefault="0087466D">
      <w:pPr>
        <w:pStyle w:val="Funotentext"/>
        <w:rPr>
          <w:lang w:val="de-AT"/>
        </w:rPr>
      </w:pPr>
      <w:r>
        <w:rPr>
          <w:rStyle w:val="Funotenzeichen"/>
        </w:rPr>
        <w:footnoteRef/>
      </w:r>
      <w:r>
        <w:t xml:space="preserve"> </w:t>
      </w:r>
      <w:r>
        <w:rPr>
          <w:lang w:val="de-AT"/>
        </w:rPr>
        <w:t xml:space="preserve">Zur Stellung der Frau: ,Graeca‘, Bd. II/1, Kap. II/9 (S. 331 ff). </w:t>
      </w:r>
    </w:p>
  </w:footnote>
  <w:footnote w:id="59">
    <w:p w:rsidR="0087466D" w:rsidRPr="00F16A56" w:rsidRDefault="0087466D">
      <w:pPr>
        <w:pStyle w:val="Funotentext"/>
        <w:rPr>
          <w:lang w:val="de-AT"/>
        </w:rPr>
      </w:pPr>
      <w:r>
        <w:rPr>
          <w:rStyle w:val="Funotenzeichen"/>
        </w:rPr>
        <w:footnoteRef/>
      </w:r>
      <w:r>
        <w:t xml:space="preserve"> </w:t>
      </w:r>
      <w:r>
        <w:rPr>
          <w:lang w:val="de-AT"/>
        </w:rPr>
        <w:t>Dies eine Folge der patriarchalen Ausrichtung aller indo-europäischen Kulturen.</w:t>
      </w:r>
    </w:p>
  </w:footnote>
  <w:footnote w:id="60">
    <w:p w:rsidR="0087466D" w:rsidRDefault="0087466D">
      <w:pPr>
        <w:pStyle w:val="Funotentext"/>
      </w:pPr>
      <w:r>
        <w:rPr>
          <w:rStyle w:val="Funotenzeichen"/>
        </w:rPr>
        <w:footnoteRef/>
      </w:r>
      <w:r>
        <w:t xml:space="preserve"> </w:t>
      </w:r>
      <w:r>
        <w:rPr>
          <w:lang w:val="de-AT"/>
        </w:rPr>
        <w:t xml:space="preserve">Dazu ‚Graeca’, Bd. II/1, Kap. </w:t>
      </w:r>
      <w:r w:rsidRPr="004B7757">
        <w:rPr>
          <w:lang w:val="de-AT"/>
        </w:rPr>
        <w:t xml:space="preserve">II 10 (S. </w:t>
      </w:r>
      <w:r>
        <w:rPr>
          <w:lang w:val="de-AT"/>
        </w:rPr>
        <w:t>553 ff</w:t>
      </w:r>
      <w:r w:rsidRPr="004B7757">
        <w:rPr>
          <w:lang w:val="de-AT"/>
        </w:rPr>
        <w:t>).</w:t>
      </w:r>
    </w:p>
  </w:footnote>
  <w:footnote w:id="61">
    <w:p w:rsidR="0087466D" w:rsidRDefault="0087466D">
      <w:pPr>
        <w:pStyle w:val="Funotentext"/>
      </w:pPr>
      <w:r>
        <w:rPr>
          <w:rStyle w:val="Funotenzeichen"/>
        </w:rPr>
        <w:footnoteRef/>
      </w:r>
      <w:r>
        <w:rPr>
          <w:lang w:val="de-AT"/>
        </w:rPr>
        <w:t xml:space="preserve"> Vgl. ,Graeca‘, Bd. II/1, Kap. II 10 (S. 508, 533). </w:t>
      </w:r>
    </w:p>
  </w:footnote>
  <w:footnote w:id="62">
    <w:p w:rsidR="0087466D" w:rsidRDefault="0087466D">
      <w:pPr>
        <w:pStyle w:val="Funotentext"/>
      </w:pPr>
      <w:r>
        <w:rPr>
          <w:rStyle w:val="Funotenzeichen"/>
        </w:rPr>
        <w:footnoteRef/>
      </w:r>
      <w:r>
        <w:t xml:space="preserve"> </w:t>
      </w:r>
      <w:r>
        <w:rPr>
          <w:lang w:val="de-AT"/>
        </w:rPr>
        <w:t xml:space="preserve">Auch der bereits solonische </w:t>
      </w:r>
      <w:r w:rsidRPr="005D350A">
        <w:rPr>
          <w:lang w:val="de-AT"/>
        </w:rPr>
        <w:t>Schutz Verstorbener</w:t>
      </w:r>
      <w:r>
        <w:rPr>
          <w:lang w:val="de-AT"/>
        </w:rPr>
        <w:t xml:space="preserve"> – Solon untersagte es, über sie schlecht zu reden – wurde  wahrscheinlich aus Angst vor ihrer Wiederkehr geschaffen und nicht aus Gründen des Respekts der Person; mehr dazu in ,Graeca‘, Bd. II/1, Kap. II 10: </w:t>
      </w:r>
      <w:r w:rsidRPr="005D350A">
        <w:rPr>
          <w:i/>
          <w:lang w:val="de-AT"/>
        </w:rPr>
        <w:t>,Postmortaler Persönlichkeitsschutz‘</w:t>
      </w:r>
      <w:r>
        <w:rPr>
          <w:lang w:val="de-AT"/>
        </w:rPr>
        <w:t xml:space="preserve"> (S. 588 ff) und in der FS für M. Binder (20</w:t>
      </w:r>
      <w:r w:rsidRPr="005D350A">
        <w:rPr>
          <w:lang w:val="de-AT"/>
        </w:rPr>
        <w:t>10</w:t>
      </w:r>
      <w:r>
        <w:rPr>
          <w:lang w:val="de-AT"/>
        </w:rPr>
        <w:t xml:space="preserve">). – Zum entwickelten Persönlichkeitsschutz Lebender: ,Graeca‘, Bd. II/2, Kap. II 14.   </w:t>
      </w:r>
    </w:p>
  </w:footnote>
  <w:footnote w:id="63">
    <w:p w:rsidR="0087466D" w:rsidRDefault="0087466D" w:rsidP="007629A5">
      <w:pPr>
        <w:pStyle w:val="Funotentext"/>
      </w:pPr>
      <w:r>
        <w:rPr>
          <w:rStyle w:val="Funotenzeichen"/>
        </w:rPr>
        <w:footnoteRef/>
      </w:r>
      <w:r>
        <w:t xml:space="preserve"> </w:t>
      </w:r>
      <w:r>
        <w:rPr>
          <w:lang w:val="de-AT"/>
        </w:rPr>
        <w:t xml:space="preserve">1963, 91. </w:t>
      </w:r>
    </w:p>
  </w:footnote>
  <w:footnote w:id="64">
    <w:p w:rsidR="0087466D" w:rsidRPr="00EA3E9A" w:rsidRDefault="0087466D" w:rsidP="00EA3E9A">
      <w:pPr>
        <w:pStyle w:val="Funotentext"/>
        <w:rPr>
          <w:lang w:val="de-AT"/>
        </w:rPr>
      </w:pPr>
      <w:r>
        <w:rPr>
          <w:rStyle w:val="Funotenzeichen"/>
        </w:rPr>
        <w:footnoteRef/>
      </w:r>
      <w:r>
        <w:t xml:space="preserve"> </w:t>
      </w:r>
      <w:r>
        <w:rPr>
          <w:lang w:val="de-AT"/>
        </w:rPr>
        <w:t xml:space="preserve">Goldziher 1963, 3: „Dieser </w:t>
      </w:r>
      <w:r w:rsidRPr="00EA3E9A">
        <w:rPr>
          <w:i/>
          <w:lang w:val="de-AT"/>
        </w:rPr>
        <w:t>rezeptive Charakter</w:t>
      </w:r>
      <w:r>
        <w:rPr>
          <w:i/>
          <w:lang w:val="de-AT"/>
        </w:rPr>
        <w:t xml:space="preserve"> </w:t>
      </w:r>
      <w:r>
        <w:rPr>
          <w:lang w:val="de-AT"/>
        </w:rPr>
        <w:t>ist dem Islam schon bei seiner Geburt auf die Stirn geschrieben. Sein Stifter Muhammed verkündet nicht neue Ideen.“</w:t>
      </w:r>
    </w:p>
  </w:footnote>
  <w:footnote w:id="65">
    <w:p w:rsidR="0087466D" w:rsidRDefault="0087466D">
      <w:pPr>
        <w:pStyle w:val="Funotentext"/>
      </w:pPr>
      <w:r>
        <w:rPr>
          <w:rStyle w:val="Funotenzeichen"/>
        </w:rPr>
        <w:footnoteRef/>
      </w:r>
      <w:r>
        <w:t xml:space="preserve"> </w:t>
      </w:r>
      <w:r>
        <w:rPr>
          <w:lang w:val="de-AT"/>
        </w:rPr>
        <w:t xml:space="preserve">Man lese dazu einerseits Hamed Abdel-Samad’s ,Mohamed‘ (2015) und andererseits Werner Jaegers Werk über ,Das frühe Christentum‘ (1963). – Hinsichtlich des Entstehens der juristischen Person im islamischen Recht (Stiftungen/wāf) verweise ich auf E. F. Bruck (1926/1970), der vermutet, dass der Islam diese aus dem westlichen Rechtsdenken übernommen hat; s. ,Graeca‘, Bd. II/2, Kap. II 21 (S. 335 f).  O. Spengler hielt das für eine großartige ‚Erfindung‘ des Islam! Dazu mein Spengler Text: 2018, 90 f (Spengler und die Rechtsgeschichte). </w:t>
      </w:r>
    </w:p>
  </w:footnote>
  <w:footnote w:id="66">
    <w:p w:rsidR="0087466D" w:rsidRPr="00EA3E9A" w:rsidRDefault="0087466D">
      <w:pPr>
        <w:pStyle w:val="Funotentext"/>
        <w:rPr>
          <w:lang w:val="de-AT"/>
        </w:rPr>
      </w:pPr>
      <w:r>
        <w:rPr>
          <w:rStyle w:val="Funotenzeichen"/>
        </w:rPr>
        <w:footnoteRef/>
      </w:r>
      <w:r>
        <w:t xml:space="preserve"> </w:t>
      </w:r>
      <w:r>
        <w:rPr>
          <w:lang w:val="de-AT"/>
        </w:rPr>
        <w:t>1963, 3.</w:t>
      </w:r>
    </w:p>
  </w:footnote>
  <w:footnote w:id="67">
    <w:p w:rsidR="0087466D" w:rsidRDefault="0087466D">
      <w:pPr>
        <w:pStyle w:val="Funotentext"/>
      </w:pPr>
      <w:r>
        <w:rPr>
          <w:rStyle w:val="Funotenzeichen"/>
        </w:rPr>
        <w:footnoteRef/>
      </w:r>
      <w:r>
        <w:t xml:space="preserve"> </w:t>
      </w:r>
      <w:r>
        <w:rPr>
          <w:lang w:val="de-AT"/>
        </w:rPr>
        <w:t>Vgl. E. Seidl (1939/1957) und (1968), Sch. Allam 2005, 116 ff sowie S. Lippert (2008).</w:t>
      </w:r>
    </w:p>
  </w:footnote>
  <w:footnote w:id="68">
    <w:p w:rsidR="0087466D" w:rsidRDefault="0087466D" w:rsidP="002739E5">
      <w:pPr>
        <w:pStyle w:val="Funotentext"/>
      </w:pPr>
      <w:r>
        <w:rPr>
          <w:rStyle w:val="Funotenzeichen"/>
        </w:rPr>
        <w:footnoteRef/>
      </w:r>
      <w:r>
        <w:t xml:space="preserve"> </w:t>
      </w:r>
      <w:r>
        <w:rPr>
          <w:lang w:val="de-AT"/>
        </w:rPr>
        <w:t>Dazu ‚Graeca’, Bd. II/2, Kap. II 17 (insbesondere S. 240 f, 271 f)</w:t>
      </w:r>
      <w:r w:rsidR="00AB52A1">
        <w:rPr>
          <w:lang w:val="de-AT"/>
        </w:rPr>
        <w:t xml:space="preserve"> mit Hinweisen auf die weitere Entwicklung: Griechenland, Rom, Europa</w:t>
      </w:r>
      <w:r>
        <w:rPr>
          <w:lang w:val="de-AT"/>
        </w:rPr>
        <w:t>.</w:t>
      </w:r>
    </w:p>
  </w:footnote>
  <w:footnote w:id="69">
    <w:p w:rsidR="0087466D" w:rsidRPr="001C57E0" w:rsidRDefault="0087466D">
      <w:pPr>
        <w:pStyle w:val="Funotentext"/>
        <w:rPr>
          <w:lang w:val="de-AT"/>
        </w:rPr>
      </w:pPr>
      <w:r>
        <w:rPr>
          <w:rStyle w:val="Funotenzeichen"/>
        </w:rPr>
        <w:footnoteRef/>
      </w:r>
      <w:r>
        <w:t xml:space="preserve"> </w:t>
      </w:r>
      <w:r>
        <w:rPr>
          <w:lang w:val="de-AT"/>
        </w:rPr>
        <w:t xml:space="preserve">Dazu ,Graeca‘, Bd. II/2, Kap. II 17 (S. 240). </w:t>
      </w:r>
    </w:p>
  </w:footnote>
  <w:footnote w:id="70">
    <w:p w:rsidR="0087466D" w:rsidRDefault="0087466D">
      <w:pPr>
        <w:pStyle w:val="Funotentext"/>
      </w:pPr>
      <w:r>
        <w:rPr>
          <w:rStyle w:val="Funotenzeichen"/>
        </w:rPr>
        <w:footnoteRef/>
      </w:r>
      <w:r>
        <w:t xml:space="preserve"> </w:t>
      </w:r>
      <w:r w:rsidR="002318CF">
        <w:rPr>
          <w:lang w:val="de-AT"/>
        </w:rPr>
        <w:t>II 32, 8 ff.</w:t>
      </w:r>
      <w:r>
        <w:rPr>
          <w:lang w:val="de-AT"/>
        </w:rPr>
        <w:t xml:space="preserve"> </w:t>
      </w:r>
    </w:p>
  </w:footnote>
  <w:footnote w:id="71">
    <w:p w:rsidR="0087466D" w:rsidRPr="00983DA2" w:rsidRDefault="0087466D">
      <w:pPr>
        <w:pStyle w:val="Funotentext"/>
        <w:rPr>
          <w:lang w:val="de-AT"/>
        </w:rPr>
      </w:pPr>
      <w:r>
        <w:rPr>
          <w:rStyle w:val="Funotenzeichen"/>
        </w:rPr>
        <w:footnoteRef/>
      </w:r>
      <w:r>
        <w:t xml:space="preserve"> Vgl. </w:t>
      </w:r>
      <w:r>
        <w:rPr>
          <w:lang w:val="de-AT"/>
        </w:rPr>
        <w:t xml:space="preserve">Anm. </w:t>
      </w:r>
      <w:r>
        <w:rPr>
          <w:lang w:val="de-AT"/>
        </w:rPr>
        <w:fldChar w:fldCharType="begin"/>
      </w:r>
      <w:r>
        <w:rPr>
          <w:lang w:val="de-AT"/>
        </w:rPr>
        <w:instrText xml:space="preserve"> NOTEREF _Ref441512974 \h </w:instrText>
      </w:r>
      <w:r>
        <w:rPr>
          <w:lang w:val="de-AT"/>
        </w:rPr>
      </w:r>
      <w:r>
        <w:rPr>
          <w:lang w:val="de-AT"/>
        </w:rPr>
        <w:fldChar w:fldCharType="separate"/>
      </w:r>
      <w:r>
        <w:rPr>
          <w:lang w:val="de-AT"/>
        </w:rPr>
        <w:t>53</w:t>
      </w:r>
      <w:r>
        <w:rPr>
          <w:lang w:val="de-AT"/>
        </w:rPr>
        <w:fldChar w:fldCharType="end"/>
      </w:r>
      <w:r w:rsidR="002318CF">
        <w:rPr>
          <w:lang w:val="de-AT"/>
        </w:rPr>
        <w:t>: W. Jaeger (1963)</w:t>
      </w:r>
      <w:r>
        <w:rPr>
          <w:lang w:val="de-AT"/>
        </w:rPr>
        <w:t xml:space="preserve">. </w:t>
      </w:r>
    </w:p>
  </w:footnote>
  <w:footnote w:id="72">
    <w:p w:rsidR="0087466D" w:rsidRPr="00983DA2" w:rsidRDefault="0087466D">
      <w:pPr>
        <w:pStyle w:val="Funotentext"/>
        <w:rPr>
          <w:lang w:val="de-AT"/>
        </w:rPr>
      </w:pPr>
      <w:r>
        <w:rPr>
          <w:rStyle w:val="Funotenzeichen"/>
        </w:rPr>
        <w:footnoteRef/>
      </w:r>
      <w:r>
        <w:t xml:space="preserve"> </w:t>
      </w:r>
      <w:r>
        <w:rPr>
          <w:lang w:val="de-AT"/>
        </w:rPr>
        <w:t xml:space="preserve">Griechische ,Paideia‘ war Lebenselixier des frühen Christentums und noch von Byzanz; im frühen Islam war es nicht anders. </w:t>
      </w:r>
    </w:p>
  </w:footnote>
  <w:footnote w:id="73">
    <w:p w:rsidR="00D16EFE" w:rsidRDefault="00D16EFE" w:rsidP="00D16EFE">
      <w:pPr>
        <w:pStyle w:val="Funotentext"/>
      </w:pPr>
      <w:r>
        <w:rPr>
          <w:rStyle w:val="Funotenzeichen"/>
        </w:rPr>
        <w:footnoteRef/>
      </w:r>
      <w:r w:rsidRPr="00FE2AA7">
        <w:rPr>
          <w:lang w:val="de-AT"/>
        </w:rPr>
        <w:t xml:space="preserve"> </w:t>
      </w:r>
      <w:r>
        <w:rPr>
          <w:lang w:val="de-AT"/>
        </w:rPr>
        <w:t xml:space="preserve">Vgl. </w:t>
      </w:r>
      <w:r w:rsidRPr="00FE2AA7">
        <w:rPr>
          <w:lang w:val="de-AT"/>
        </w:rPr>
        <w:t>Mayer-Maly 2005, 14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6D" w:rsidRPr="004218CD" w:rsidRDefault="0087466D">
    <w:pPr>
      <w:pStyle w:val="Kopfzeile"/>
      <w:jc w:val="center"/>
      <w:rPr>
        <w:sz w:val="20"/>
        <w:szCs w:val="20"/>
      </w:rPr>
    </w:pPr>
    <w:r w:rsidRPr="004218CD">
      <w:rPr>
        <w:sz w:val="20"/>
        <w:szCs w:val="20"/>
      </w:rPr>
      <w:fldChar w:fldCharType="begin"/>
    </w:r>
    <w:r w:rsidRPr="004218CD">
      <w:rPr>
        <w:sz w:val="20"/>
        <w:szCs w:val="20"/>
      </w:rPr>
      <w:instrText>PAGE   \* MERGEFORMAT</w:instrText>
    </w:r>
    <w:r w:rsidRPr="004218CD">
      <w:rPr>
        <w:sz w:val="20"/>
        <w:szCs w:val="20"/>
      </w:rPr>
      <w:fldChar w:fldCharType="separate"/>
    </w:r>
    <w:r w:rsidR="0002596E" w:rsidRPr="0002596E">
      <w:rPr>
        <w:noProof/>
        <w:sz w:val="20"/>
        <w:szCs w:val="20"/>
        <w:lang w:val="de-DE"/>
      </w:rPr>
      <w:t>18</w:t>
    </w:r>
    <w:r w:rsidRPr="004218CD">
      <w:rPr>
        <w:sz w:val="20"/>
        <w:szCs w:val="20"/>
      </w:rPr>
      <w:fldChar w:fldCharType="end"/>
    </w:r>
  </w:p>
  <w:p w:rsidR="0087466D" w:rsidRDefault="008746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F672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7A01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B497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9C5B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AA9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1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E6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88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6C3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E3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44D04"/>
    <w:multiLevelType w:val="hybridMultilevel"/>
    <w:tmpl w:val="16BA4FFE"/>
    <w:lvl w:ilvl="0" w:tplc="3B385D96">
      <w:start w:val="1"/>
      <w:numFmt w:val="upperRoman"/>
      <w:lvlText w:val="%1."/>
      <w:lvlJc w:val="left"/>
      <w:pPr>
        <w:tabs>
          <w:tab w:val="num" w:pos="1080"/>
        </w:tabs>
        <w:ind w:left="1080" w:hanging="720"/>
      </w:pPr>
      <w:rPr>
        <w:rFonts w:cs="Times New Roman" w:hint="default"/>
        <w:b/>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BB1825"/>
    <w:multiLevelType w:val="hybridMultilevel"/>
    <w:tmpl w:val="DDD6002A"/>
    <w:lvl w:ilvl="0" w:tplc="0C070013">
      <w:start w:val="1"/>
      <w:numFmt w:val="upperRoman"/>
      <w:lvlText w:val="%1."/>
      <w:lvlJc w:val="righ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13A856D4"/>
    <w:multiLevelType w:val="hybridMultilevel"/>
    <w:tmpl w:val="963AA52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57489E"/>
    <w:multiLevelType w:val="hybridMultilevel"/>
    <w:tmpl w:val="2EC490EA"/>
    <w:lvl w:ilvl="0" w:tplc="7788220A">
      <w:numFmt w:val="bullet"/>
      <w:lvlText w:val="-"/>
      <w:lvlJc w:val="left"/>
      <w:pPr>
        <w:ind w:left="720" w:hanging="360"/>
      </w:pPr>
      <w:rPr>
        <w:rFonts w:ascii="Times New Roman" w:eastAsia="Times New Roman" w:hAnsi="Times New Roman"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605B2D"/>
    <w:multiLevelType w:val="hybridMultilevel"/>
    <w:tmpl w:val="A78E5CEA"/>
    <w:lvl w:ilvl="0" w:tplc="E9FA9AD6">
      <w:start w:val="19"/>
      <w:numFmt w:val="bullet"/>
      <w:lvlText w:val="-"/>
      <w:lvlJc w:val="left"/>
      <w:pPr>
        <w:ind w:left="720" w:hanging="360"/>
      </w:pPr>
      <w:rPr>
        <w:rFonts w:ascii="Times New Roman" w:eastAsia="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7B5C11"/>
    <w:multiLevelType w:val="hybridMultilevel"/>
    <w:tmpl w:val="6ABC2FFE"/>
    <w:lvl w:ilvl="0" w:tplc="86DACBE4">
      <w:numFmt w:val="bullet"/>
      <w:lvlText w:val="-"/>
      <w:lvlJc w:val="left"/>
      <w:pPr>
        <w:ind w:left="720" w:hanging="360"/>
      </w:pPr>
      <w:rPr>
        <w:rFonts w:ascii="Times New Roman" w:eastAsia="Times New Roman"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41"/>
    <w:rsid w:val="00005AB7"/>
    <w:rsid w:val="0000649F"/>
    <w:rsid w:val="000076C8"/>
    <w:rsid w:val="0002596E"/>
    <w:rsid w:val="00026E25"/>
    <w:rsid w:val="00030AD3"/>
    <w:rsid w:val="00031076"/>
    <w:rsid w:val="000332F2"/>
    <w:rsid w:val="00037027"/>
    <w:rsid w:val="000405DC"/>
    <w:rsid w:val="00050372"/>
    <w:rsid w:val="00051575"/>
    <w:rsid w:val="0006230A"/>
    <w:rsid w:val="00076641"/>
    <w:rsid w:val="00077494"/>
    <w:rsid w:val="00080CFB"/>
    <w:rsid w:val="000819F6"/>
    <w:rsid w:val="00086A73"/>
    <w:rsid w:val="00090DB2"/>
    <w:rsid w:val="000A1552"/>
    <w:rsid w:val="000B4CEA"/>
    <w:rsid w:val="000C1F01"/>
    <w:rsid w:val="000C2683"/>
    <w:rsid w:val="000D0141"/>
    <w:rsid w:val="000D177B"/>
    <w:rsid w:val="000D2A12"/>
    <w:rsid w:val="000D2B8A"/>
    <w:rsid w:val="000D2BF0"/>
    <w:rsid w:val="000D2F82"/>
    <w:rsid w:val="000D78D1"/>
    <w:rsid w:val="000E0119"/>
    <w:rsid w:val="000F0734"/>
    <w:rsid w:val="00106FE9"/>
    <w:rsid w:val="00134B3F"/>
    <w:rsid w:val="00140C28"/>
    <w:rsid w:val="00142A4B"/>
    <w:rsid w:val="00151F56"/>
    <w:rsid w:val="001578A3"/>
    <w:rsid w:val="00164CF6"/>
    <w:rsid w:val="0016543F"/>
    <w:rsid w:val="00167216"/>
    <w:rsid w:val="001674E7"/>
    <w:rsid w:val="0017519F"/>
    <w:rsid w:val="00176E58"/>
    <w:rsid w:val="00185391"/>
    <w:rsid w:val="00186D9A"/>
    <w:rsid w:val="00187C69"/>
    <w:rsid w:val="00191863"/>
    <w:rsid w:val="001B148A"/>
    <w:rsid w:val="001B5922"/>
    <w:rsid w:val="001C53E4"/>
    <w:rsid w:val="001C57E0"/>
    <w:rsid w:val="001C73C2"/>
    <w:rsid w:val="001D20FC"/>
    <w:rsid w:val="001D26D2"/>
    <w:rsid w:val="001D4E9C"/>
    <w:rsid w:val="001D5E90"/>
    <w:rsid w:val="001E1114"/>
    <w:rsid w:val="001E6A00"/>
    <w:rsid w:val="001F40EC"/>
    <w:rsid w:val="002003DC"/>
    <w:rsid w:val="00204C0E"/>
    <w:rsid w:val="002107AF"/>
    <w:rsid w:val="00216979"/>
    <w:rsid w:val="002228CD"/>
    <w:rsid w:val="00224903"/>
    <w:rsid w:val="002318CF"/>
    <w:rsid w:val="00233759"/>
    <w:rsid w:val="00234309"/>
    <w:rsid w:val="002436EB"/>
    <w:rsid w:val="0024479E"/>
    <w:rsid w:val="0026079B"/>
    <w:rsid w:val="00270859"/>
    <w:rsid w:val="002739E5"/>
    <w:rsid w:val="002769B3"/>
    <w:rsid w:val="00283D2A"/>
    <w:rsid w:val="00286252"/>
    <w:rsid w:val="002868A2"/>
    <w:rsid w:val="00286B95"/>
    <w:rsid w:val="00292FED"/>
    <w:rsid w:val="002A45FE"/>
    <w:rsid w:val="002A574E"/>
    <w:rsid w:val="002C1289"/>
    <w:rsid w:val="002C1F68"/>
    <w:rsid w:val="002C2C7E"/>
    <w:rsid w:val="002C3863"/>
    <w:rsid w:val="002E7100"/>
    <w:rsid w:val="002E7F27"/>
    <w:rsid w:val="002F0764"/>
    <w:rsid w:val="002F09BE"/>
    <w:rsid w:val="002F1CF9"/>
    <w:rsid w:val="00303ADA"/>
    <w:rsid w:val="00303CFE"/>
    <w:rsid w:val="00306A8F"/>
    <w:rsid w:val="00312C16"/>
    <w:rsid w:val="00313D93"/>
    <w:rsid w:val="00314A85"/>
    <w:rsid w:val="00315A16"/>
    <w:rsid w:val="00317270"/>
    <w:rsid w:val="0033308D"/>
    <w:rsid w:val="0034490C"/>
    <w:rsid w:val="003638E9"/>
    <w:rsid w:val="00366DD1"/>
    <w:rsid w:val="00372186"/>
    <w:rsid w:val="003731ED"/>
    <w:rsid w:val="00381B5A"/>
    <w:rsid w:val="00387D54"/>
    <w:rsid w:val="00391B7C"/>
    <w:rsid w:val="0039311E"/>
    <w:rsid w:val="003A0668"/>
    <w:rsid w:val="003A5A8E"/>
    <w:rsid w:val="003A7403"/>
    <w:rsid w:val="003B102B"/>
    <w:rsid w:val="003B4D84"/>
    <w:rsid w:val="003B6959"/>
    <w:rsid w:val="003C4DB0"/>
    <w:rsid w:val="003C6194"/>
    <w:rsid w:val="003D0B7B"/>
    <w:rsid w:val="003D306E"/>
    <w:rsid w:val="003D3255"/>
    <w:rsid w:val="003D490F"/>
    <w:rsid w:val="003D5A1F"/>
    <w:rsid w:val="003E2BE5"/>
    <w:rsid w:val="004022F8"/>
    <w:rsid w:val="00402D36"/>
    <w:rsid w:val="004032A4"/>
    <w:rsid w:val="00407ADD"/>
    <w:rsid w:val="00414FD3"/>
    <w:rsid w:val="0041650E"/>
    <w:rsid w:val="004176A9"/>
    <w:rsid w:val="004218CD"/>
    <w:rsid w:val="00422F7D"/>
    <w:rsid w:val="00424332"/>
    <w:rsid w:val="0042479D"/>
    <w:rsid w:val="00430DA0"/>
    <w:rsid w:val="00440122"/>
    <w:rsid w:val="00440554"/>
    <w:rsid w:val="0044077C"/>
    <w:rsid w:val="004422D4"/>
    <w:rsid w:val="00452465"/>
    <w:rsid w:val="004538AB"/>
    <w:rsid w:val="00462E48"/>
    <w:rsid w:val="0046617D"/>
    <w:rsid w:val="0047463C"/>
    <w:rsid w:val="00481CE0"/>
    <w:rsid w:val="00483000"/>
    <w:rsid w:val="0048606D"/>
    <w:rsid w:val="0048665F"/>
    <w:rsid w:val="00490FA4"/>
    <w:rsid w:val="0049311B"/>
    <w:rsid w:val="00494B76"/>
    <w:rsid w:val="00496702"/>
    <w:rsid w:val="004A2F5F"/>
    <w:rsid w:val="004A71A3"/>
    <w:rsid w:val="004B296F"/>
    <w:rsid w:val="004B5180"/>
    <w:rsid w:val="004B7757"/>
    <w:rsid w:val="004B7F7B"/>
    <w:rsid w:val="004C471F"/>
    <w:rsid w:val="004C7FF3"/>
    <w:rsid w:val="004D4148"/>
    <w:rsid w:val="004D52E6"/>
    <w:rsid w:val="004D67C3"/>
    <w:rsid w:val="004D6A4C"/>
    <w:rsid w:val="004D784B"/>
    <w:rsid w:val="004E672F"/>
    <w:rsid w:val="004F4813"/>
    <w:rsid w:val="004F65A7"/>
    <w:rsid w:val="0050083F"/>
    <w:rsid w:val="0050150A"/>
    <w:rsid w:val="00505A64"/>
    <w:rsid w:val="00510C25"/>
    <w:rsid w:val="00514E29"/>
    <w:rsid w:val="00516730"/>
    <w:rsid w:val="005210FC"/>
    <w:rsid w:val="00531386"/>
    <w:rsid w:val="00544ED2"/>
    <w:rsid w:val="0054566B"/>
    <w:rsid w:val="00555414"/>
    <w:rsid w:val="00566140"/>
    <w:rsid w:val="00571B7A"/>
    <w:rsid w:val="005750B9"/>
    <w:rsid w:val="00577F40"/>
    <w:rsid w:val="00590A1A"/>
    <w:rsid w:val="00590DE8"/>
    <w:rsid w:val="00595AAA"/>
    <w:rsid w:val="005A436C"/>
    <w:rsid w:val="005A4E2A"/>
    <w:rsid w:val="005B6E6E"/>
    <w:rsid w:val="005C695A"/>
    <w:rsid w:val="005C7ACD"/>
    <w:rsid w:val="005D2CB8"/>
    <w:rsid w:val="005D350A"/>
    <w:rsid w:val="005D37ED"/>
    <w:rsid w:val="005D6B9C"/>
    <w:rsid w:val="005D6F65"/>
    <w:rsid w:val="005F60A3"/>
    <w:rsid w:val="00603F00"/>
    <w:rsid w:val="00604D3D"/>
    <w:rsid w:val="00612AD9"/>
    <w:rsid w:val="006175C2"/>
    <w:rsid w:val="00621217"/>
    <w:rsid w:val="00621DF0"/>
    <w:rsid w:val="0063612A"/>
    <w:rsid w:val="00636804"/>
    <w:rsid w:val="0064054B"/>
    <w:rsid w:val="00642113"/>
    <w:rsid w:val="00645410"/>
    <w:rsid w:val="00651063"/>
    <w:rsid w:val="00651CE4"/>
    <w:rsid w:val="0065325D"/>
    <w:rsid w:val="00666827"/>
    <w:rsid w:val="00680F3C"/>
    <w:rsid w:val="00686D6C"/>
    <w:rsid w:val="00695139"/>
    <w:rsid w:val="00697989"/>
    <w:rsid w:val="006A0944"/>
    <w:rsid w:val="006A305D"/>
    <w:rsid w:val="006A4A09"/>
    <w:rsid w:val="006A5D2E"/>
    <w:rsid w:val="006B0BCD"/>
    <w:rsid w:val="006B717C"/>
    <w:rsid w:val="006C423B"/>
    <w:rsid w:val="006C5DD1"/>
    <w:rsid w:val="006C62B1"/>
    <w:rsid w:val="006C6CDB"/>
    <w:rsid w:val="006E3500"/>
    <w:rsid w:val="006E665E"/>
    <w:rsid w:val="007120B5"/>
    <w:rsid w:val="00720078"/>
    <w:rsid w:val="007213B7"/>
    <w:rsid w:val="007240C1"/>
    <w:rsid w:val="007368DC"/>
    <w:rsid w:val="007404F6"/>
    <w:rsid w:val="00747050"/>
    <w:rsid w:val="00751148"/>
    <w:rsid w:val="00753E3A"/>
    <w:rsid w:val="00757949"/>
    <w:rsid w:val="007616B3"/>
    <w:rsid w:val="007629A5"/>
    <w:rsid w:val="00767DAF"/>
    <w:rsid w:val="00776443"/>
    <w:rsid w:val="00786CB0"/>
    <w:rsid w:val="00792203"/>
    <w:rsid w:val="00793EC0"/>
    <w:rsid w:val="007947DC"/>
    <w:rsid w:val="00797C34"/>
    <w:rsid w:val="007A0095"/>
    <w:rsid w:val="007A3C80"/>
    <w:rsid w:val="007A3EA4"/>
    <w:rsid w:val="007A528D"/>
    <w:rsid w:val="007A5544"/>
    <w:rsid w:val="007A600B"/>
    <w:rsid w:val="007A7B4A"/>
    <w:rsid w:val="007B45F4"/>
    <w:rsid w:val="007C7482"/>
    <w:rsid w:val="007E2199"/>
    <w:rsid w:val="007E3C20"/>
    <w:rsid w:val="007F79BD"/>
    <w:rsid w:val="00801AA9"/>
    <w:rsid w:val="008038E0"/>
    <w:rsid w:val="00803A23"/>
    <w:rsid w:val="00803BD0"/>
    <w:rsid w:val="00816E8F"/>
    <w:rsid w:val="00821FAA"/>
    <w:rsid w:val="00822798"/>
    <w:rsid w:val="0082574B"/>
    <w:rsid w:val="00831F3A"/>
    <w:rsid w:val="008426A4"/>
    <w:rsid w:val="00850C84"/>
    <w:rsid w:val="00855485"/>
    <w:rsid w:val="00856B83"/>
    <w:rsid w:val="00856E95"/>
    <w:rsid w:val="0087466D"/>
    <w:rsid w:val="00881BBA"/>
    <w:rsid w:val="00884981"/>
    <w:rsid w:val="00885890"/>
    <w:rsid w:val="00885B8E"/>
    <w:rsid w:val="008865AF"/>
    <w:rsid w:val="00886C72"/>
    <w:rsid w:val="0088770D"/>
    <w:rsid w:val="00890989"/>
    <w:rsid w:val="00891ACF"/>
    <w:rsid w:val="0089629C"/>
    <w:rsid w:val="00896E0B"/>
    <w:rsid w:val="008A6EC6"/>
    <w:rsid w:val="008C5DAA"/>
    <w:rsid w:val="008D0F9F"/>
    <w:rsid w:val="008D16C6"/>
    <w:rsid w:val="008D2F17"/>
    <w:rsid w:val="008D501E"/>
    <w:rsid w:val="008E18D6"/>
    <w:rsid w:val="008E1BBB"/>
    <w:rsid w:val="008E6245"/>
    <w:rsid w:val="008E7655"/>
    <w:rsid w:val="008F2541"/>
    <w:rsid w:val="00902B40"/>
    <w:rsid w:val="00903933"/>
    <w:rsid w:val="00906BA4"/>
    <w:rsid w:val="00912676"/>
    <w:rsid w:val="00916868"/>
    <w:rsid w:val="00920028"/>
    <w:rsid w:val="009216BF"/>
    <w:rsid w:val="00927A1B"/>
    <w:rsid w:val="00930EFA"/>
    <w:rsid w:val="009325B8"/>
    <w:rsid w:val="0093541C"/>
    <w:rsid w:val="00944CA7"/>
    <w:rsid w:val="00946E06"/>
    <w:rsid w:val="0095059F"/>
    <w:rsid w:val="00955FBB"/>
    <w:rsid w:val="00962C5F"/>
    <w:rsid w:val="00965A61"/>
    <w:rsid w:val="0097162A"/>
    <w:rsid w:val="00972AB1"/>
    <w:rsid w:val="0098049D"/>
    <w:rsid w:val="0098190F"/>
    <w:rsid w:val="00983DA2"/>
    <w:rsid w:val="00983FFA"/>
    <w:rsid w:val="00987C7D"/>
    <w:rsid w:val="00987FCB"/>
    <w:rsid w:val="00990F8D"/>
    <w:rsid w:val="00993B45"/>
    <w:rsid w:val="009B242F"/>
    <w:rsid w:val="009B6CFC"/>
    <w:rsid w:val="009B721C"/>
    <w:rsid w:val="009C7CC8"/>
    <w:rsid w:val="009D3C4E"/>
    <w:rsid w:val="009E3C70"/>
    <w:rsid w:val="009F4101"/>
    <w:rsid w:val="00A01301"/>
    <w:rsid w:val="00A1279C"/>
    <w:rsid w:val="00A13661"/>
    <w:rsid w:val="00A16D75"/>
    <w:rsid w:val="00A30488"/>
    <w:rsid w:val="00A376E3"/>
    <w:rsid w:val="00A518F2"/>
    <w:rsid w:val="00A549B2"/>
    <w:rsid w:val="00A56422"/>
    <w:rsid w:val="00A57637"/>
    <w:rsid w:val="00A6085F"/>
    <w:rsid w:val="00A62719"/>
    <w:rsid w:val="00A63A25"/>
    <w:rsid w:val="00A77D50"/>
    <w:rsid w:val="00A9131D"/>
    <w:rsid w:val="00A9698D"/>
    <w:rsid w:val="00AA0751"/>
    <w:rsid w:val="00AA4C78"/>
    <w:rsid w:val="00AA6427"/>
    <w:rsid w:val="00AB2EED"/>
    <w:rsid w:val="00AB3ADE"/>
    <w:rsid w:val="00AB52A1"/>
    <w:rsid w:val="00AB5D65"/>
    <w:rsid w:val="00AC50B6"/>
    <w:rsid w:val="00AF2D7D"/>
    <w:rsid w:val="00AF4732"/>
    <w:rsid w:val="00B052B5"/>
    <w:rsid w:val="00B10FD0"/>
    <w:rsid w:val="00B138FC"/>
    <w:rsid w:val="00B14A71"/>
    <w:rsid w:val="00B355E4"/>
    <w:rsid w:val="00B42516"/>
    <w:rsid w:val="00B572CC"/>
    <w:rsid w:val="00B578DB"/>
    <w:rsid w:val="00B6309F"/>
    <w:rsid w:val="00B63304"/>
    <w:rsid w:val="00B63DE3"/>
    <w:rsid w:val="00B668DC"/>
    <w:rsid w:val="00B72504"/>
    <w:rsid w:val="00B7328F"/>
    <w:rsid w:val="00B73A83"/>
    <w:rsid w:val="00B8717B"/>
    <w:rsid w:val="00B8770F"/>
    <w:rsid w:val="00B94E50"/>
    <w:rsid w:val="00B96BF6"/>
    <w:rsid w:val="00B97741"/>
    <w:rsid w:val="00B97CA7"/>
    <w:rsid w:val="00BA1C72"/>
    <w:rsid w:val="00BA5697"/>
    <w:rsid w:val="00BB13AE"/>
    <w:rsid w:val="00BB1519"/>
    <w:rsid w:val="00BC577D"/>
    <w:rsid w:val="00BC77D9"/>
    <w:rsid w:val="00BD00FF"/>
    <w:rsid w:val="00BD1220"/>
    <w:rsid w:val="00BE2065"/>
    <w:rsid w:val="00BE33F3"/>
    <w:rsid w:val="00C0178B"/>
    <w:rsid w:val="00C04045"/>
    <w:rsid w:val="00C04423"/>
    <w:rsid w:val="00C04FAD"/>
    <w:rsid w:val="00C06641"/>
    <w:rsid w:val="00C113E1"/>
    <w:rsid w:val="00C11578"/>
    <w:rsid w:val="00C17E5B"/>
    <w:rsid w:val="00C206ED"/>
    <w:rsid w:val="00C21EF4"/>
    <w:rsid w:val="00C2328C"/>
    <w:rsid w:val="00C30621"/>
    <w:rsid w:val="00C40559"/>
    <w:rsid w:val="00C422AB"/>
    <w:rsid w:val="00C438E6"/>
    <w:rsid w:val="00C51324"/>
    <w:rsid w:val="00C518DD"/>
    <w:rsid w:val="00C53A8A"/>
    <w:rsid w:val="00C54500"/>
    <w:rsid w:val="00C574BC"/>
    <w:rsid w:val="00C60045"/>
    <w:rsid w:val="00C640C2"/>
    <w:rsid w:val="00C64B60"/>
    <w:rsid w:val="00C70ACD"/>
    <w:rsid w:val="00C74E27"/>
    <w:rsid w:val="00C8053B"/>
    <w:rsid w:val="00CA1314"/>
    <w:rsid w:val="00CA18D5"/>
    <w:rsid w:val="00CC535C"/>
    <w:rsid w:val="00CC56DB"/>
    <w:rsid w:val="00CD28B5"/>
    <w:rsid w:val="00CD76F0"/>
    <w:rsid w:val="00CE3E00"/>
    <w:rsid w:val="00CE69E3"/>
    <w:rsid w:val="00CF4966"/>
    <w:rsid w:val="00CF63A4"/>
    <w:rsid w:val="00D00B85"/>
    <w:rsid w:val="00D13B21"/>
    <w:rsid w:val="00D144A2"/>
    <w:rsid w:val="00D16EFE"/>
    <w:rsid w:val="00D21CE5"/>
    <w:rsid w:val="00D24FB6"/>
    <w:rsid w:val="00D26E7A"/>
    <w:rsid w:val="00D321F8"/>
    <w:rsid w:val="00D33D8F"/>
    <w:rsid w:val="00D35D25"/>
    <w:rsid w:val="00D35D6D"/>
    <w:rsid w:val="00D367EA"/>
    <w:rsid w:val="00D51254"/>
    <w:rsid w:val="00D5160C"/>
    <w:rsid w:val="00D55C51"/>
    <w:rsid w:val="00D55CF8"/>
    <w:rsid w:val="00D605AE"/>
    <w:rsid w:val="00D65398"/>
    <w:rsid w:val="00D66300"/>
    <w:rsid w:val="00D7058A"/>
    <w:rsid w:val="00D72A5C"/>
    <w:rsid w:val="00D73719"/>
    <w:rsid w:val="00D770C0"/>
    <w:rsid w:val="00D80D84"/>
    <w:rsid w:val="00D85856"/>
    <w:rsid w:val="00D939A1"/>
    <w:rsid w:val="00DA30A2"/>
    <w:rsid w:val="00DA59E1"/>
    <w:rsid w:val="00DC048F"/>
    <w:rsid w:val="00DC13FA"/>
    <w:rsid w:val="00DC4951"/>
    <w:rsid w:val="00DC606A"/>
    <w:rsid w:val="00DD452B"/>
    <w:rsid w:val="00DE71AA"/>
    <w:rsid w:val="00DF060C"/>
    <w:rsid w:val="00E2459B"/>
    <w:rsid w:val="00E27C3F"/>
    <w:rsid w:val="00E3027D"/>
    <w:rsid w:val="00E458AD"/>
    <w:rsid w:val="00E45A90"/>
    <w:rsid w:val="00E50568"/>
    <w:rsid w:val="00E51A1D"/>
    <w:rsid w:val="00E618A7"/>
    <w:rsid w:val="00E61981"/>
    <w:rsid w:val="00E61FBF"/>
    <w:rsid w:val="00E641C6"/>
    <w:rsid w:val="00E64775"/>
    <w:rsid w:val="00E6596A"/>
    <w:rsid w:val="00E662A9"/>
    <w:rsid w:val="00E772B7"/>
    <w:rsid w:val="00E77FB4"/>
    <w:rsid w:val="00E80CCA"/>
    <w:rsid w:val="00E835EF"/>
    <w:rsid w:val="00E864BF"/>
    <w:rsid w:val="00E93229"/>
    <w:rsid w:val="00E97B48"/>
    <w:rsid w:val="00EA3E9A"/>
    <w:rsid w:val="00EA4693"/>
    <w:rsid w:val="00EA7A2A"/>
    <w:rsid w:val="00EC5EA9"/>
    <w:rsid w:val="00ED0A48"/>
    <w:rsid w:val="00ED767C"/>
    <w:rsid w:val="00EE234B"/>
    <w:rsid w:val="00EE29D6"/>
    <w:rsid w:val="00EE6441"/>
    <w:rsid w:val="00EF1340"/>
    <w:rsid w:val="00EF379D"/>
    <w:rsid w:val="00EF723F"/>
    <w:rsid w:val="00F06527"/>
    <w:rsid w:val="00F10BBC"/>
    <w:rsid w:val="00F16A56"/>
    <w:rsid w:val="00F252E4"/>
    <w:rsid w:val="00F25418"/>
    <w:rsid w:val="00F26DE1"/>
    <w:rsid w:val="00F27956"/>
    <w:rsid w:val="00F34430"/>
    <w:rsid w:val="00F348F5"/>
    <w:rsid w:val="00F5330B"/>
    <w:rsid w:val="00F54234"/>
    <w:rsid w:val="00F56ED4"/>
    <w:rsid w:val="00F646B8"/>
    <w:rsid w:val="00F666C7"/>
    <w:rsid w:val="00F74071"/>
    <w:rsid w:val="00F810C7"/>
    <w:rsid w:val="00F82B82"/>
    <w:rsid w:val="00F9226A"/>
    <w:rsid w:val="00F926CF"/>
    <w:rsid w:val="00F97880"/>
    <w:rsid w:val="00FA1F16"/>
    <w:rsid w:val="00FA3CD1"/>
    <w:rsid w:val="00FA4E07"/>
    <w:rsid w:val="00FA732B"/>
    <w:rsid w:val="00FA7A68"/>
    <w:rsid w:val="00FC05D2"/>
    <w:rsid w:val="00FC195E"/>
    <w:rsid w:val="00FD6AEA"/>
    <w:rsid w:val="00FE2AA7"/>
    <w:rsid w:val="00FE5EE8"/>
    <w:rsid w:val="00FE7E21"/>
    <w:rsid w:val="00FF00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C9858"/>
  <w15:docId w15:val="{337C77F6-99DD-4FD3-AB42-5D6358B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441"/>
    <w:rPr>
      <w:rFonts w:ascii="Times New Roman" w:eastAsia="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42A4B"/>
    <w:pPr>
      <w:ind w:left="720"/>
      <w:contextualSpacing/>
    </w:pPr>
  </w:style>
  <w:style w:type="paragraph" w:styleId="Dokumentstruktur">
    <w:name w:val="Document Map"/>
    <w:basedOn w:val="Standard"/>
    <w:link w:val="DokumentstrukturZchn"/>
    <w:uiPriority w:val="99"/>
    <w:semiHidden/>
    <w:rsid w:val="00A549B2"/>
    <w:pPr>
      <w:shd w:val="clear" w:color="auto" w:fill="000080"/>
    </w:pPr>
    <w:rPr>
      <w:rFonts w:eastAsia="Calibri"/>
      <w:sz w:val="2"/>
      <w:szCs w:val="20"/>
    </w:rPr>
  </w:style>
  <w:style w:type="character" w:customStyle="1" w:styleId="DokumentstrukturZchn">
    <w:name w:val="Dokumentstruktur Zchn"/>
    <w:link w:val="Dokumentstruktur"/>
    <w:uiPriority w:val="99"/>
    <w:semiHidden/>
    <w:locked/>
    <w:rsid w:val="00590DE8"/>
    <w:rPr>
      <w:rFonts w:ascii="Times New Roman" w:hAnsi="Times New Roman" w:cs="Times New Roman"/>
      <w:sz w:val="2"/>
      <w:lang w:eastAsia="de-DE"/>
    </w:rPr>
  </w:style>
  <w:style w:type="paragraph" w:styleId="Funotentext">
    <w:name w:val="footnote text"/>
    <w:basedOn w:val="Standard"/>
    <w:link w:val="FunotentextZchn"/>
    <w:uiPriority w:val="99"/>
    <w:rsid w:val="004A71A3"/>
    <w:pPr>
      <w:tabs>
        <w:tab w:val="left" w:pos="227"/>
      </w:tabs>
      <w:spacing w:before="60" w:after="60"/>
      <w:jc w:val="both"/>
    </w:pPr>
    <w:rPr>
      <w:rFonts w:ascii="Calibri" w:eastAsia="Calibri" w:hAnsi="Calibri"/>
      <w:sz w:val="20"/>
      <w:szCs w:val="20"/>
      <w:lang w:val="de-DE"/>
    </w:rPr>
  </w:style>
  <w:style w:type="character" w:customStyle="1" w:styleId="FootnoteTextChar">
    <w:name w:val="Footnote Text Char"/>
    <w:uiPriority w:val="99"/>
    <w:semiHidden/>
    <w:locked/>
    <w:rsid w:val="00216979"/>
    <w:rPr>
      <w:rFonts w:ascii="Times New Roman" w:hAnsi="Times New Roman" w:cs="Times New Roman"/>
      <w:sz w:val="20"/>
      <w:lang w:eastAsia="de-DE"/>
    </w:rPr>
  </w:style>
  <w:style w:type="character" w:customStyle="1" w:styleId="FunotentextZchn">
    <w:name w:val="Fußnotentext Zchn"/>
    <w:link w:val="Funotentext"/>
    <w:uiPriority w:val="99"/>
    <w:locked/>
    <w:rsid w:val="004A71A3"/>
    <w:rPr>
      <w:lang w:val="de-DE" w:eastAsia="de-DE"/>
    </w:rPr>
  </w:style>
  <w:style w:type="character" w:styleId="Funotenzeichen">
    <w:name w:val="footnote reference"/>
    <w:uiPriority w:val="99"/>
    <w:rsid w:val="004A71A3"/>
    <w:rPr>
      <w:rFonts w:ascii="Times New Roman" w:hAnsi="Times New Roman" w:cs="Times New Roman"/>
      <w:color w:val="800080"/>
      <w:sz w:val="24"/>
      <w:vertAlign w:val="superscript"/>
    </w:rPr>
  </w:style>
  <w:style w:type="character" w:customStyle="1" w:styleId="betontkursiv">
    <w:name w:val="betont_kursiv"/>
    <w:uiPriority w:val="99"/>
    <w:semiHidden/>
    <w:rsid w:val="004A71A3"/>
    <w:rPr>
      <w:i/>
      <w:color w:val="0000FF"/>
    </w:rPr>
  </w:style>
  <w:style w:type="paragraph" w:customStyle="1" w:styleId="kleindruck">
    <w:name w:val="kleindruck"/>
    <w:basedOn w:val="Standard"/>
    <w:link w:val="kleindruckChar"/>
    <w:uiPriority w:val="99"/>
    <w:rsid w:val="004A71A3"/>
    <w:pPr>
      <w:spacing w:before="120" w:after="120"/>
      <w:jc w:val="both"/>
    </w:pPr>
    <w:rPr>
      <w:rFonts w:ascii="Calibri" w:eastAsia="Calibri" w:hAnsi="Calibri"/>
      <w:szCs w:val="20"/>
    </w:rPr>
  </w:style>
  <w:style w:type="character" w:customStyle="1" w:styleId="kleindruckChar">
    <w:name w:val="kleindruck Char"/>
    <w:link w:val="kleindruck"/>
    <w:uiPriority w:val="99"/>
    <w:locked/>
    <w:rsid w:val="004A71A3"/>
    <w:rPr>
      <w:sz w:val="24"/>
      <w:lang w:val="de-AT" w:eastAsia="de-DE"/>
    </w:rPr>
  </w:style>
  <w:style w:type="paragraph" w:customStyle="1" w:styleId="Literatur">
    <w:name w:val="Literatur"/>
    <w:basedOn w:val="Standard"/>
    <w:autoRedefine/>
    <w:rsid w:val="009D3C4E"/>
    <w:pPr>
      <w:spacing w:before="60"/>
      <w:ind w:left="1134" w:hanging="1134"/>
      <w:jc w:val="both"/>
    </w:pPr>
    <w:rPr>
      <w:lang w:val="de-DE"/>
    </w:rPr>
  </w:style>
  <w:style w:type="paragraph" w:styleId="Kopfzeile">
    <w:name w:val="header"/>
    <w:basedOn w:val="Standard"/>
    <w:link w:val="KopfzeileZchn"/>
    <w:uiPriority w:val="99"/>
    <w:rsid w:val="004218CD"/>
    <w:pPr>
      <w:tabs>
        <w:tab w:val="center" w:pos="4536"/>
        <w:tab w:val="right" w:pos="9072"/>
      </w:tabs>
    </w:pPr>
  </w:style>
  <w:style w:type="character" w:customStyle="1" w:styleId="KopfzeileZchn">
    <w:name w:val="Kopfzeile Zchn"/>
    <w:link w:val="Kopfzeile"/>
    <w:uiPriority w:val="99"/>
    <w:locked/>
    <w:rsid w:val="004218CD"/>
    <w:rPr>
      <w:rFonts w:ascii="Times New Roman" w:hAnsi="Times New Roman" w:cs="Times New Roman"/>
      <w:sz w:val="24"/>
      <w:lang w:eastAsia="de-DE"/>
    </w:rPr>
  </w:style>
  <w:style w:type="paragraph" w:styleId="Fuzeile">
    <w:name w:val="footer"/>
    <w:basedOn w:val="Standard"/>
    <w:link w:val="FuzeileZchn"/>
    <w:uiPriority w:val="99"/>
    <w:rsid w:val="004218CD"/>
    <w:pPr>
      <w:tabs>
        <w:tab w:val="center" w:pos="4536"/>
        <w:tab w:val="right" w:pos="9072"/>
      </w:tabs>
    </w:pPr>
  </w:style>
  <w:style w:type="character" w:customStyle="1" w:styleId="FuzeileZchn">
    <w:name w:val="Fußzeile Zchn"/>
    <w:link w:val="Fuzeile"/>
    <w:uiPriority w:val="99"/>
    <w:locked/>
    <w:rsid w:val="004218CD"/>
    <w:rPr>
      <w:rFonts w:ascii="Times New Roman" w:hAnsi="Times New Roman" w:cs="Times New Roman"/>
      <w:sz w:val="24"/>
      <w:lang w:eastAsia="de-DE"/>
    </w:rPr>
  </w:style>
  <w:style w:type="paragraph" w:styleId="Sprechblasentext">
    <w:name w:val="Balloon Text"/>
    <w:basedOn w:val="Standard"/>
    <w:link w:val="SprechblasentextZchn"/>
    <w:uiPriority w:val="99"/>
    <w:semiHidden/>
    <w:rsid w:val="00B8770F"/>
    <w:rPr>
      <w:rFonts w:ascii="Tahoma" w:hAnsi="Tahoma"/>
      <w:sz w:val="16"/>
      <w:szCs w:val="16"/>
    </w:rPr>
  </w:style>
  <w:style w:type="character" w:customStyle="1" w:styleId="SprechblasentextZchn">
    <w:name w:val="Sprechblasentext Zchn"/>
    <w:link w:val="Sprechblasentext"/>
    <w:uiPriority w:val="99"/>
    <w:semiHidden/>
    <w:locked/>
    <w:rsid w:val="00B8770F"/>
    <w:rPr>
      <w:rFonts w:ascii="Tahoma" w:hAnsi="Tahoma" w:cs="Times New Roman"/>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eanlegalculture.wordpress.com/2014/04/11/solon-ojciec-wspolczesnej-eur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1A12-1967-476B-BE46-8AC0B7D6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6034</Words>
  <Characters>40593</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Heinz</dc:creator>
  <cp:keywords/>
  <dc:description/>
  <cp:lastModifiedBy>Barta, Heinz</cp:lastModifiedBy>
  <cp:revision>3</cp:revision>
  <cp:lastPrinted>2015-12-01T15:55:00Z</cp:lastPrinted>
  <dcterms:created xsi:type="dcterms:W3CDTF">2018-05-16T13:36:00Z</dcterms:created>
  <dcterms:modified xsi:type="dcterms:W3CDTF">2018-05-16T13:36:00Z</dcterms:modified>
</cp:coreProperties>
</file>