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2DDC" w14:textId="77777777" w:rsidR="005E12CF" w:rsidRDefault="001202AB">
      <w:pPr>
        <w:tabs>
          <w:tab w:val="left" w:pos="567"/>
        </w:tabs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b/>
          <w:lang w:val="de-AT"/>
        </w:rPr>
        <w:t>Wahlpaket „</w:t>
      </w: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t>xxx</w:t>
      </w:r>
      <w:r>
        <w:rPr>
          <w:rFonts w:ascii="Times New Roman" w:hAnsi="Times New Roman" w:cs="Times New Roman"/>
          <w:b/>
          <w:lang w:val="de-AT"/>
        </w:rPr>
        <w:t>“</w:t>
      </w:r>
    </w:p>
    <w:p w14:paraId="442B091E" w14:textId="77777777" w:rsidR="005E12CF" w:rsidRDefault="005E12CF">
      <w:pPr>
        <w:jc w:val="both"/>
        <w:rPr>
          <w:rFonts w:ascii="Times New Roman" w:hAnsi="Times New Roman" w:cs="Times New Roman"/>
          <w:b/>
          <w:lang w:val="de-AT"/>
        </w:rPr>
      </w:pPr>
    </w:p>
    <w:p w14:paraId="4209A694" w14:textId="7A25A5AA" w:rsidR="005E12CF" w:rsidRPr="00CC7FA3" w:rsidRDefault="00CC7FA3" w:rsidP="003D4D1D">
      <w:pPr>
        <w:ind w:left="567" w:hanging="567"/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b/>
          <w:lang w:val="de-AT"/>
        </w:rPr>
        <w:t xml:space="preserve">§ 1 </w:t>
      </w:r>
      <w:r>
        <w:rPr>
          <w:rFonts w:ascii="Times New Roman" w:hAnsi="Times New Roman" w:cs="Times New Roman"/>
          <w:b/>
          <w:lang w:val="de-AT"/>
        </w:rPr>
        <w:tab/>
      </w:r>
      <w:r w:rsidR="001202AB" w:rsidRPr="00CC7FA3">
        <w:rPr>
          <w:rFonts w:ascii="Times New Roman" w:hAnsi="Times New Roman" w:cs="Times New Roman"/>
          <w:b/>
          <w:lang w:val="de-AT"/>
        </w:rPr>
        <w:t xml:space="preserve">Kompetenzprofil </w:t>
      </w:r>
    </w:p>
    <w:p w14:paraId="07485E13" w14:textId="77777777" w:rsidR="005E12CF" w:rsidRDefault="001202AB" w:rsidP="00CC7FA3">
      <w:pPr>
        <w:pStyle w:val="Listenabsatz"/>
        <w:widowControl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color w:val="808080" w:themeColor="background1" w:themeShade="80"/>
          <w:lang w:val="de-AT"/>
        </w:rPr>
        <w:t>Die Absolventinnen und Absolventen des Wahlpakets verfügen über […].</w:t>
      </w:r>
    </w:p>
    <w:p w14:paraId="7E4DBE5D" w14:textId="77777777" w:rsidR="005E12CF" w:rsidRDefault="001202AB" w:rsidP="00CC7FA3">
      <w:pPr>
        <w:pStyle w:val="Listenabsatz"/>
        <w:widowControl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Sie sind in der Lage, […]. </w:t>
      </w:r>
    </w:p>
    <w:p w14:paraId="11D0E488" w14:textId="1EF38329" w:rsidR="00CC7FA3" w:rsidRPr="00CC7FA3" w:rsidRDefault="001202AB" w:rsidP="00CC7FA3">
      <w:pPr>
        <w:pStyle w:val="Listenabsatz"/>
        <w:widowControl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color w:val="808080" w:themeColor="background1" w:themeShade="80"/>
          <w:lang w:val="de-AT"/>
        </w:rPr>
        <w:t>Die Absolventinnen und Absolventen können […].</w:t>
      </w:r>
    </w:p>
    <w:p w14:paraId="44E866B1" w14:textId="77777777" w:rsidR="005E12CF" w:rsidRDefault="005E12CF">
      <w:pPr>
        <w:jc w:val="both"/>
        <w:rPr>
          <w:rFonts w:ascii="Times New Roman" w:hAnsi="Times New Roman" w:cs="Times New Roman"/>
          <w:lang w:val="de-AT"/>
        </w:rPr>
      </w:pPr>
    </w:p>
    <w:p w14:paraId="22B85FAE" w14:textId="652407B2" w:rsidR="005E12CF" w:rsidRPr="003D4D1D" w:rsidRDefault="003D4D1D" w:rsidP="003D4D1D">
      <w:pPr>
        <w:ind w:left="567" w:hanging="567"/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b/>
          <w:lang w:val="de-AT"/>
        </w:rPr>
        <w:t>§ 2</w:t>
      </w:r>
      <w:r>
        <w:rPr>
          <w:rFonts w:ascii="Times New Roman" w:hAnsi="Times New Roman" w:cs="Times New Roman"/>
          <w:b/>
          <w:lang w:val="de-AT"/>
        </w:rPr>
        <w:tab/>
      </w:r>
      <w:r w:rsidR="001202AB" w:rsidRPr="003D4D1D">
        <w:rPr>
          <w:rFonts w:ascii="Times New Roman" w:hAnsi="Times New Roman" w:cs="Times New Roman"/>
          <w:b/>
          <w:lang w:val="de-AT"/>
        </w:rPr>
        <w:t xml:space="preserve">Umfang </w:t>
      </w:r>
    </w:p>
    <w:p w14:paraId="163B65B6" w14:textId="77777777" w:rsidR="005E12CF" w:rsidRDefault="001202AB">
      <w:pPr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 xml:space="preserve">Das Wahlpaket 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xxx </w:t>
      </w:r>
      <w:r>
        <w:rPr>
          <w:rFonts w:ascii="Times New Roman" w:hAnsi="Times New Roman" w:cs="Times New Roman"/>
          <w:lang w:val="de-AT"/>
        </w:rPr>
        <w:t xml:space="preserve">umfasst 30 ECTS-Anrechnungspunkte (im Folgenden: ECTS-AP). </w:t>
      </w:r>
      <w:r w:rsidR="00C03BF1" w:rsidRPr="00C03BF1">
        <w:rPr>
          <w:rFonts w:ascii="Times New Roman" w:hAnsi="Times New Roman" w:cs="Times New Roman"/>
          <w:lang w:val="de-AT"/>
        </w:rPr>
        <w:t>Ein ECTS-AP entspricht einer Arbeitsbelastung von 25 Stunden.</w:t>
      </w:r>
    </w:p>
    <w:p w14:paraId="7FB9C63D" w14:textId="77777777" w:rsidR="005E12CF" w:rsidRDefault="005E12CF">
      <w:pPr>
        <w:jc w:val="both"/>
        <w:rPr>
          <w:rFonts w:ascii="Times New Roman" w:hAnsi="Times New Roman" w:cs="Times New Roman"/>
          <w:lang w:val="de-AT"/>
        </w:rPr>
      </w:pPr>
    </w:p>
    <w:p w14:paraId="14F70B2C" w14:textId="6E313358" w:rsidR="005E12CF" w:rsidRPr="003D4D1D" w:rsidRDefault="003D4D1D" w:rsidP="003D4D1D">
      <w:pPr>
        <w:ind w:left="567" w:hanging="567"/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b/>
          <w:lang w:val="de-AT"/>
        </w:rPr>
        <w:t>§ 3</w:t>
      </w:r>
      <w:r>
        <w:rPr>
          <w:rFonts w:ascii="Times New Roman" w:hAnsi="Times New Roman" w:cs="Times New Roman"/>
          <w:b/>
          <w:lang w:val="de-AT"/>
        </w:rPr>
        <w:tab/>
      </w:r>
      <w:r w:rsidR="001202AB" w:rsidRPr="003D4D1D">
        <w:rPr>
          <w:rFonts w:ascii="Times New Roman" w:hAnsi="Times New Roman" w:cs="Times New Roman"/>
          <w:b/>
          <w:lang w:val="de-AT"/>
        </w:rPr>
        <w:t>Zulassung</w:t>
      </w:r>
    </w:p>
    <w:p w14:paraId="647457F2" w14:textId="77777777" w:rsidR="005E12CF" w:rsidRDefault="001202AB">
      <w:pPr>
        <w:pStyle w:val="Listenabsatz"/>
        <w:widowControl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 xml:space="preserve">Das Wahlpaket kann von ordentlichen Studierenden der an der Universität Innsbruck eingerichteten 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>Bachelor-/Master</w:t>
      </w:r>
      <w:r>
        <w:rPr>
          <w:rFonts w:ascii="Times New Roman" w:hAnsi="Times New Roman" w:cs="Times New Roman"/>
          <w:lang w:val="de-AT"/>
        </w:rPr>
        <w:t xml:space="preserve">studien gewählt werden, sofern im entsprechenden Curriculum die Möglichkeit, ein Wahlpaket zu absolvieren, vorgesehen ist. </w:t>
      </w:r>
    </w:p>
    <w:p w14:paraId="5E5ECB42" w14:textId="77777777" w:rsidR="005E12CF" w:rsidRDefault="001202AB">
      <w:pPr>
        <w:pStyle w:val="Listenabsatz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Die einzelnen Module und Lehrveranstaltungen des Wahlpakets können nach Maßgabe freier Plätze absolviert werden.</w:t>
      </w:r>
    </w:p>
    <w:p w14:paraId="75A895D7" w14:textId="77777777" w:rsidR="005E12CF" w:rsidRDefault="001202AB">
      <w:pPr>
        <w:pStyle w:val="Listenabsatz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Studierende können eine Lehrveranstaltung entweder dem Fachstudium oder dem Wahlpaket zuordnen. Eine doppelte Zuordnung ist nicht zulässig.</w:t>
      </w:r>
    </w:p>
    <w:p w14:paraId="5F894467" w14:textId="77777777" w:rsidR="005E12CF" w:rsidRDefault="005E12CF">
      <w:pPr>
        <w:jc w:val="both"/>
        <w:rPr>
          <w:rFonts w:ascii="Times New Roman" w:hAnsi="Times New Roman" w:cs="Times New Roman"/>
          <w:lang w:val="de-AT"/>
        </w:rPr>
      </w:pPr>
    </w:p>
    <w:p w14:paraId="30120174" w14:textId="77777777" w:rsidR="005E12CF" w:rsidRDefault="001202AB">
      <w:pPr>
        <w:pStyle w:val="paragraf-ziffer"/>
        <w:tabs>
          <w:tab w:val="clear" w:pos="709"/>
        </w:tabs>
        <w:spacing w:before="0" w:line="240" w:lineRule="auto"/>
        <w:ind w:left="567" w:hanging="567"/>
        <w:rPr>
          <w:b/>
          <w:color w:val="808080" w:themeColor="background1" w:themeShade="80"/>
          <w:sz w:val="22"/>
          <w:szCs w:val="22"/>
        </w:rPr>
      </w:pPr>
      <w:r>
        <w:rPr>
          <w:b/>
          <w:color w:val="808080" w:themeColor="background1" w:themeShade="80"/>
          <w:sz w:val="22"/>
          <w:szCs w:val="22"/>
        </w:rPr>
        <w:t>x</w:t>
      </w:r>
      <w:r w:rsidR="00C77DAA">
        <w:rPr>
          <w:b/>
          <w:color w:val="808080" w:themeColor="background1" w:themeShade="80"/>
          <w:sz w:val="22"/>
          <w:szCs w:val="22"/>
        </w:rPr>
        <w:t>.</w:t>
      </w:r>
      <w:r>
        <w:rPr>
          <w:b/>
          <w:color w:val="808080" w:themeColor="background1" w:themeShade="80"/>
          <w:sz w:val="22"/>
          <w:szCs w:val="22"/>
        </w:rPr>
        <w:tab/>
        <w:t xml:space="preserve">Sprache </w:t>
      </w:r>
      <w:r>
        <w:rPr>
          <w:i/>
          <w:color w:val="808080" w:themeColor="background1" w:themeShade="80"/>
          <w:sz w:val="22"/>
          <w:szCs w:val="22"/>
        </w:rPr>
        <w:t>(nur dann anführen, wenn das gesamte Wahlpaket oder einzelne Lehrveranstaltungen/Module in einer anderen Sprache angeboten werden)</w:t>
      </w:r>
    </w:p>
    <w:p w14:paraId="3DCE9768" w14:textId="77777777" w:rsidR="005E12CF" w:rsidRDefault="005E12CF">
      <w:pPr>
        <w:pStyle w:val="paragraf-ziffer"/>
        <w:tabs>
          <w:tab w:val="clear" w:pos="709"/>
        </w:tabs>
        <w:spacing w:before="0" w:line="240" w:lineRule="auto"/>
        <w:rPr>
          <w:color w:val="808080" w:themeColor="background1" w:themeShade="80"/>
          <w:sz w:val="22"/>
          <w:szCs w:val="22"/>
          <w:lang w:val="de-AT"/>
        </w:rPr>
      </w:pPr>
    </w:p>
    <w:p w14:paraId="39934992" w14:textId="77777777" w:rsidR="005E12CF" w:rsidRDefault="001202AB">
      <w:pPr>
        <w:pStyle w:val="paragraf-ziffer"/>
        <w:tabs>
          <w:tab w:val="clear" w:pos="709"/>
        </w:tabs>
        <w:spacing w:before="0" w:line="240" w:lineRule="auto"/>
        <w:rPr>
          <w:i/>
          <w:color w:val="808080" w:themeColor="background1" w:themeShade="80"/>
          <w:sz w:val="22"/>
          <w:szCs w:val="22"/>
          <w:lang w:val="de-AT"/>
        </w:rPr>
      </w:pPr>
      <w:r>
        <w:rPr>
          <w:i/>
          <w:color w:val="808080" w:themeColor="background1" w:themeShade="80"/>
          <w:sz w:val="22"/>
          <w:szCs w:val="22"/>
          <w:lang w:val="de-AT"/>
        </w:rPr>
        <w:t xml:space="preserve">Variante 1: </w:t>
      </w:r>
    </w:p>
    <w:p w14:paraId="627A493E" w14:textId="77777777" w:rsidR="005E12CF" w:rsidRDefault="001202AB">
      <w:pPr>
        <w:jc w:val="both"/>
        <w:rPr>
          <w:rFonts w:ascii="Times New Roman" w:eastAsia="Times New Roman" w:hAnsi="Times New Roman" w:cs="Times New Roman"/>
          <w:color w:val="808080" w:themeColor="background1" w:themeShade="80"/>
          <w:lang w:val="de-AT" w:eastAsia="de-AT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val="de-AT" w:eastAsia="de-AT"/>
        </w:rPr>
        <w:t>„Das Wahlpaket xxx wird in englischer Sprache angeboten. Es werden Englischkenntnisse auf Niveau B2 (Gemeinsamer Europäischer Referenzrahmen) vorausgesetzt.“</w:t>
      </w:r>
    </w:p>
    <w:p w14:paraId="0858BC40" w14:textId="77777777" w:rsidR="005E12CF" w:rsidRDefault="005E12CF">
      <w:pPr>
        <w:pStyle w:val="paragraf-ziffer"/>
        <w:tabs>
          <w:tab w:val="clear" w:pos="709"/>
        </w:tabs>
        <w:spacing w:before="0" w:line="240" w:lineRule="auto"/>
        <w:ind w:left="567" w:firstLine="0"/>
        <w:rPr>
          <w:color w:val="808080" w:themeColor="background1" w:themeShade="80"/>
          <w:sz w:val="22"/>
          <w:szCs w:val="22"/>
        </w:rPr>
      </w:pPr>
    </w:p>
    <w:p w14:paraId="4F3A85DE" w14:textId="77777777" w:rsidR="005E12CF" w:rsidRDefault="001202AB">
      <w:pPr>
        <w:pStyle w:val="paragraf-ziffer"/>
        <w:tabs>
          <w:tab w:val="clear" w:pos="709"/>
        </w:tabs>
        <w:spacing w:before="0" w:line="240" w:lineRule="auto"/>
        <w:rPr>
          <w:i/>
          <w:color w:val="808080" w:themeColor="background1" w:themeShade="80"/>
          <w:sz w:val="22"/>
          <w:szCs w:val="22"/>
        </w:rPr>
      </w:pPr>
      <w:r>
        <w:rPr>
          <w:i/>
          <w:color w:val="808080" w:themeColor="background1" w:themeShade="80"/>
          <w:sz w:val="22"/>
          <w:szCs w:val="22"/>
        </w:rPr>
        <w:t xml:space="preserve">Variante 2: </w:t>
      </w:r>
    </w:p>
    <w:p w14:paraId="132E6C58" w14:textId="77777777" w:rsidR="005E12CF" w:rsidRDefault="001202AB">
      <w:pPr>
        <w:jc w:val="both"/>
        <w:rPr>
          <w:rFonts w:ascii="Times New Roman" w:eastAsia="Times New Roman" w:hAnsi="Times New Roman" w:cs="Times New Roman"/>
          <w:color w:val="808080" w:themeColor="background1" w:themeShade="80"/>
          <w:lang w:val="de-AT" w:eastAsia="de-AT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val="de-AT" w:eastAsia="de-AT"/>
        </w:rPr>
        <w:t>„Die folgenden Lehrveranstaltungen und die damit verbundenen Prüfungen folgender Module werden in englischer Sprache angeboten:</w:t>
      </w:r>
    </w:p>
    <w:p w14:paraId="76FF2583" w14:textId="77777777" w:rsidR="005E12CF" w:rsidRDefault="001202AB">
      <w:pPr>
        <w:pStyle w:val="Listenabsatz"/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808080" w:themeColor="background1" w:themeShade="80"/>
          <w:lang w:eastAsia="de-AT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eastAsia="de-AT"/>
        </w:rPr>
        <w:t>…</w:t>
      </w:r>
    </w:p>
    <w:p w14:paraId="354EFF9D" w14:textId="77777777" w:rsidR="005E12CF" w:rsidRDefault="001202AB">
      <w:pPr>
        <w:pStyle w:val="Listenabsatz"/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808080" w:themeColor="background1" w:themeShade="80"/>
          <w:lang w:eastAsia="de-AT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eastAsia="de-AT"/>
        </w:rPr>
        <w:t>…“</w:t>
      </w:r>
    </w:p>
    <w:p w14:paraId="32B0E89A" w14:textId="77777777" w:rsidR="005E12CF" w:rsidRDefault="005E12CF">
      <w:pPr>
        <w:jc w:val="both"/>
        <w:rPr>
          <w:rFonts w:ascii="Times New Roman" w:eastAsia="Times New Roman" w:hAnsi="Times New Roman" w:cs="Times New Roman"/>
          <w:lang w:eastAsia="de-AT"/>
        </w:rPr>
      </w:pPr>
    </w:p>
    <w:p w14:paraId="47D8291F" w14:textId="77777777" w:rsidR="005E12CF" w:rsidRDefault="001202AB">
      <w:pPr>
        <w:pStyle w:val="paragraf-ziffer"/>
        <w:tabs>
          <w:tab w:val="clear" w:pos="709"/>
        </w:tabs>
        <w:spacing w:before="0" w:line="240" w:lineRule="auto"/>
        <w:rPr>
          <w:i/>
          <w:color w:val="808080" w:themeColor="background1" w:themeShade="80"/>
          <w:sz w:val="22"/>
          <w:szCs w:val="22"/>
        </w:rPr>
      </w:pPr>
      <w:r>
        <w:rPr>
          <w:i/>
          <w:color w:val="808080" w:themeColor="background1" w:themeShade="80"/>
          <w:sz w:val="22"/>
          <w:szCs w:val="22"/>
        </w:rPr>
        <w:t xml:space="preserve">Variante 3: </w:t>
      </w:r>
    </w:p>
    <w:p w14:paraId="4AAE678C" w14:textId="77777777" w:rsidR="005E12CF" w:rsidRDefault="001202AB">
      <w:pPr>
        <w:jc w:val="both"/>
        <w:rPr>
          <w:rFonts w:ascii="Times New Roman" w:eastAsia="Times New Roman" w:hAnsi="Times New Roman" w:cs="Times New Roman"/>
          <w:color w:val="808080" w:themeColor="background1" w:themeShade="80"/>
          <w:lang w:val="de-AT" w:eastAsia="de-AT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val="de-AT" w:eastAsia="de-AT"/>
        </w:rPr>
        <w:t>„Die folgenden Module und die damit verbundenen Prüfungen werden in englischer Sprache angeboten:</w:t>
      </w:r>
    </w:p>
    <w:p w14:paraId="1FC7452C" w14:textId="77777777" w:rsidR="005E12CF" w:rsidRDefault="001202AB">
      <w:pPr>
        <w:pStyle w:val="Listenabsatz"/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808080" w:themeColor="background1" w:themeShade="80"/>
          <w:lang w:eastAsia="de-AT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eastAsia="de-AT"/>
        </w:rPr>
        <w:t>…</w:t>
      </w:r>
    </w:p>
    <w:p w14:paraId="3AB55E42" w14:textId="77777777" w:rsidR="005E12CF" w:rsidRDefault="001202AB">
      <w:pPr>
        <w:pStyle w:val="Listenabsatz"/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808080" w:themeColor="background1" w:themeShade="80"/>
          <w:lang w:eastAsia="de-AT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eastAsia="de-AT"/>
        </w:rPr>
        <w:t>…“</w:t>
      </w:r>
    </w:p>
    <w:p w14:paraId="5AEDE96F" w14:textId="77777777" w:rsidR="005E12CF" w:rsidRDefault="005E12CF">
      <w:pPr>
        <w:jc w:val="both"/>
        <w:rPr>
          <w:rFonts w:ascii="Times New Roman" w:hAnsi="Times New Roman" w:cs="Times New Roman"/>
          <w:lang w:val="de-AT"/>
        </w:rPr>
      </w:pPr>
    </w:p>
    <w:p w14:paraId="742130E5" w14:textId="6E8B26B7" w:rsidR="005E12CF" w:rsidRPr="003D4D1D" w:rsidRDefault="003D4D1D" w:rsidP="003D4D1D">
      <w:pPr>
        <w:ind w:left="567" w:hanging="567"/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b/>
          <w:lang w:val="de-AT"/>
        </w:rPr>
        <w:t>§ 4</w:t>
      </w:r>
      <w:r>
        <w:rPr>
          <w:rFonts w:ascii="Times New Roman" w:hAnsi="Times New Roman" w:cs="Times New Roman"/>
          <w:b/>
          <w:lang w:val="de-AT"/>
        </w:rPr>
        <w:tab/>
      </w:r>
      <w:r w:rsidR="001202AB" w:rsidRPr="003D4D1D">
        <w:rPr>
          <w:rFonts w:ascii="Times New Roman" w:hAnsi="Times New Roman" w:cs="Times New Roman"/>
          <w:b/>
          <w:lang w:val="de-AT"/>
        </w:rPr>
        <w:t>Lehrveranstaltungsarten und Teilungszahlen</w:t>
      </w:r>
    </w:p>
    <w:p w14:paraId="385DBEC6" w14:textId="77777777" w:rsidR="005E12CF" w:rsidRDefault="001202AB">
      <w:pPr>
        <w:pStyle w:val="Listenabsatz"/>
        <w:widowControl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color w:val="808080" w:themeColor="background1" w:themeShade="80"/>
          <w:lang w:val="de-AT"/>
        </w:rPr>
        <w:t>Nicht-prüfungsimmanente Lehrveranstaltungen:</w:t>
      </w:r>
    </w:p>
    <w:p w14:paraId="7F6C75E3" w14:textId="77777777" w:rsidR="005E12CF" w:rsidRDefault="001202AB">
      <w:pPr>
        <w:ind w:left="567"/>
        <w:jc w:val="both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t>Vorlesungen (VO)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 sind vorwiegend im Vortragsstil gehaltene Lehrveranstaltungen. Sie vermitteln Inhalte, Methoden und Lehrmeinungen eines Faches. Teilungszahl: keine*</w:t>
      </w:r>
    </w:p>
    <w:p w14:paraId="7EF37BFF" w14:textId="77777777" w:rsidR="005E12CF" w:rsidRDefault="001202AB">
      <w:pPr>
        <w:pStyle w:val="Listenabsatz"/>
        <w:widowControl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color w:val="808080" w:themeColor="background1" w:themeShade="80"/>
          <w:lang w:val="de-AT"/>
        </w:rPr>
        <w:t>Prüfungsimmanente Lehrveranstaltungen:</w:t>
      </w:r>
    </w:p>
    <w:p w14:paraId="5DE8F3A0" w14:textId="77777777" w:rsidR="005E12CF" w:rsidRDefault="001202AB" w:rsidP="00CC7FA3">
      <w:pPr>
        <w:pStyle w:val="Listenabsatz"/>
        <w:widowControl/>
        <w:numPr>
          <w:ilvl w:val="0"/>
          <w:numId w:val="6"/>
        </w:numPr>
        <w:tabs>
          <w:tab w:val="left" w:pos="5103"/>
        </w:tabs>
        <w:ind w:left="851" w:hanging="284"/>
        <w:jc w:val="both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t>Arbeitsgemeinschaften (AG)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 dienen zur gemeinsamen Auseinandersetzung mit Theorien, Fragen, Methoden und Techniken eines Fachgebiets in Form der Zusammenarbeit in Gruppen. Teilungszahl: xx*</w:t>
      </w:r>
    </w:p>
    <w:p w14:paraId="4CD7230E" w14:textId="77777777" w:rsidR="005E12CF" w:rsidRDefault="001202AB" w:rsidP="00CC7FA3">
      <w:pPr>
        <w:pStyle w:val="Listenabsatz"/>
        <w:widowControl/>
        <w:numPr>
          <w:ilvl w:val="0"/>
          <w:numId w:val="6"/>
        </w:numPr>
        <w:tabs>
          <w:tab w:val="left" w:pos="340"/>
          <w:tab w:val="left" w:pos="680"/>
          <w:tab w:val="left" w:pos="1021"/>
          <w:tab w:val="left" w:pos="5103"/>
        </w:tabs>
        <w:ind w:left="851" w:hanging="284"/>
        <w:jc w:val="both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t>Exkursionen (EX)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 dienen zur Veranschaulichung und Vertiefung der Studieninhalte und der praktischen Bearbeitung konkreter Aufgaben eines Fachgebiets außerhalb der Universität und ihrer Einrichtungen. Teilungszahl: xx*</w:t>
      </w:r>
    </w:p>
    <w:p w14:paraId="7468B96F" w14:textId="77777777" w:rsidR="005E12CF" w:rsidRDefault="001202AB" w:rsidP="00CC7FA3">
      <w:pPr>
        <w:pStyle w:val="Listenabsatz"/>
        <w:widowControl/>
        <w:numPr>
          <w:ilvl w:val="0"/>
          <w:numId w:val="6"/>
        </w:numPr>
        <w:tabs>
          <w:tab w:val="left" w:pos="340"/>
          <w:tab w:val="left" w:pos="680"/>
          <w:tab w:val="left" w:pos="1021"/>
          <w:tab w:val="left" w:pos="5103"/>
        </w:tabs>
        <w:ind w:left="851" w:hanging="284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t>Praktika (PR)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 dienen zur praxisorientierten Ergänzung der Berufsvorbildung oder wissenschaftlichen Ausbildung. </w:t>
      </w:r>
      <w:proofErr w:type="spellStart"/>
      <w:r>
        <w:rPr>
          <w:rFonts w:ascii="Times New Roman" w:hAnsi="Times New Roman" w:cs="Times New Roman"/>
          <w:color w:val="808080" w:themeColor="background1" w:themeShade="80"/>
        </w:rPr>
        <w:t>Teilungszahl</w:t>
      </w:r>
      <w:proofErr w:type="spellEnd"/>
      <w:r>
        <w:rPr>
          <w:rFonts w:ascii="Times New Roman" w:hAnsi="Times New Roman" w:cs="Times New Roman"/>
          <w:color w:val="808080" w:themeColor="background1" w:themeShade="80"/>
        </w:rPr>
        <w:t>: xx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>*</w:t>
      </w:r>
    </w:p>
    <w:p w14:paraId="709EBFFF" w14:textId="77777777" w:rsidR="005E12CF" w:rsidRDefault="001202AB" w:rsidP="00CC7FA3">
      <w:pPr>
        <w:pStyle w:val="Listenabsatz"/>
        <w:widowControl/>
        <w:numPr>
          <w:ilvl w:val="0"/>
          <w:numId w:val="6"/>
        </w:numPr>
        <w:tabs>
          <w:tab w:val="left" w:pos="340"/>
          <w:tab w:val="left" w:pos="680"/>
          <w:tab w:val="left" w:pos="1021"/>
          <w:tab w:val="left" w:pos="5103"/>
        </w:tabs>
        <w:ind w:left="851" w:hanging="284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t>Proseminare (PS)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 führen interaktiv in ein Fachgebiet ein und vermitteln Kenntnisse und Methoden des wissenschaftlichen Arbeitens. </w:t>
      </w:r>
      <w:proofErr w:type="spellStart"/>
      <w:r>
        <w:rPr>
          <w:rFonts w:ascii="Times New Roman" w:hAnsi="Times New Roman" w:cs="Times New Roman"/>
          <w:color w:val="808080" w:themeColor="background1" w:themeShade="80"/>
        </w:rPr>
        <w:t>Teilungszahl</w:t>
      </w:r>
      <w:proofErr w:type="spellEnd"/>
      <w:r>
        <w:rPr>
          <w:rFonts w:ascii="Times New Roman" w:hAnsi="Times New Roman" w:cs="Times New Roman"/>
          <w:color w:val="808080" w:themeColor="background1" w:themeShade="80"/>
        </w:rPr>
        <w:t>: xx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>*</w:t>
      </w:r>
    </w:p>
    <w:p w14:paraId="15389067" w14:textId="77777777" w:rsidR="005E12CF" w:rsidRDefault="001202AB" w:rsidP="00CC7FA3">
      <w:pPr>
        <w:pStyle w:val="Listenabsatz"/>
        <w:widowControl/>
        <w:numPr>
          <w:ilvl w:val="0"/>
          <w:numId w:val="6"/>
        </w:numPr>
        <w:tabs>
          <w:tab w:val="left" w:pos="340"/>
          <w:tab w:val="left" w:pos="680"/>
          <w:tab w:val="left" w:pos="1021"/>
          <w:tab w:val="left" w:pos="5103"/>
        </w:tabs>
        <w:ind w:left="851" w:hanging="284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t>Repetitorien (RE)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 dienen der gezielten Aufbereitung und Vertiefung der Prüfungsinhalte eines Fachgebiets. </w:t>
      </w:r>
      <w:proofErr w:type="spellStart"/>
      <w:r>
        <w:rPr>
          <w:rFonts w:ascii="Times New Roman" w:hAnsi="Times New Roman" w:cs="Times New Roman"/>
          <w:color w:val="808080" w:themeColor="background1" w:themeShade="80"/>
        </w:rPr>
        <w:t>Teilungszahl</w:t>
      </w:r>
      <w:proofErr w:type="spellEnd"/>
      <w:r>
        <w:rPr>
          <w:rFonts w:ascii="Times New Roman" w:hAnsi="Times New Roman" w:cs="Times New Roman"/>
          <w:color w:val="808080" w:themeColor="background1" w:themeShade="80"/>
        </w:rPr>
        <w:t>: xx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>*</w:t>
      </w:r>
    </w:p>
    <w:p w14:paraId="36086F26" w14:textId="77777777" w:rsidR="005E12CF" w:rsidRDefault="001202AB" w:rsidP="00CC7FA3">
      <w:pPr>
        <w:pStyle w:val="Listenabsatz"/>
        <w:widowControl/>
        <w:numPr>
          <w:ilvl w:val="0"/>
          <w:numId w:val="6"/>
        </w:numPr>
        <w:tabs>
          <w:tab w:val="left" w:pos="340"/>
          <w:tab w:val="left" w:pos="680"/>
          <w:tab w:val="left" w:pos="1021"/>
          <w:tab w:val="left" w:pos="5103"/>
        </w:tabs>
        <w:ind w:left="851" w:hanging="284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lastRenderedPageBreak/>
        <w:t>Seminare (SE)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 dienen zur wissenschaftlichen Auseinandersetzung mit Inhalten, Methoden und Techniken eines oder mehrerer Fachgebiete samt Präsentation und Diskussion von Beiträgen der Studierenden. </w:t>
      </w:r>
      <w:proofErr w:type="spellStart"/>
      <w:r>
        <w:rPr>
          <w:rFonts w:ascii="Times New Roman" w:hAnsi="Times New Roman" w:cs="Times New Roman"/>
          <w:color w:val="808080" w:themeColor="background1" w:themeShade="80"/>
        </w:rPr>
        <w:t>Teilungszahl</w:t>
      </w:r>
      <w:proofErr w:type="spellEnd"/>
      <w:r>
        <w:rPr>
          <w:rFonts w:ascii="Times New Roman" w:hAnsi="Times New Roman" w:cs="Times New Roman"/>
          <w:color w:val="808080" w:themeColor="background1" w:themeShade="80"/>
        </w:rPr>
        <w:t>: xx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>*</w:t>
      </w:r>
    </w:p>
    <w:p w14:paraId="7C9CD353" w14:textId="77777777" w:rsidR="005E12CF" w:rsidRDefault="001202AB" w:rsidP="00CC7FA3">
      <w:pPr>
        <w:pStyle w:val="Listenabsatz"/>
        <w:widowControl/>
        <w:numPr>
          <w:ilvl w:val="0"/>
          <w:numId w:val="6"/>
        </w:numPr>
        <w:tabs>
          <w:tab w:val="left" w:pos="340"/>
          <w:tab w:val="left" w:pos="680"/>
          <w:tab w:val="left" w:pos="1021"/>
          <w:tab w:val="left" w:pos="5103"/>
        </w:tabs>
        <w:ind w:left="851" w:hanging="284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t>Übungen (UE)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 dienen zur praktischen Bearbeitung konkreter Aufgaben eines Fachgebiets sowie der Einübung von spezifischen Kompetenzen. </w:t>
      </w:r>
      <w:proofErr w:type="spellStart"/>
      <w:r>
        <w:rPr>
          <w:rFonts w:ascii="Times New Roman" w:hAnsi="Times New Roman" w:cs="Times New Roman"/>
          <w:color w:val="808080" w:themeColor="background1" w:themeShade="80"/>
        </w:rPr>
        <w:t>Teilungszahl</w:t>
      </w:r>
      <w:proofErr w:type="spellEnd"/>
      <w:r>
        <w:rPr>
          <w:rFonts w:ascii="Times New Roman" w:hAnsi="Times New Roman" w:cs="Times New Roman"/>
          <w:color w:val="808080" w:themeColor="background1" w:themeShade="80"/>
        </w:rPr>
        <w:t>: xx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>*</w:t>
      </w:r>
    </w:p>
    <w:p w14:paraId="27642525" w14:textId="77777777" w:rsidR="005E12CF" w:rsidRDefault="001202AB" w:rsidP="00CC7FA3">
      <w:pPr>
        <w:pStyle w:val="Listenabsatz"/>
        <w:widowControl/>
        <w:numPr>
          <w:ilvl w:val="0"/>
          <w:numId w:val="6"/>
        </w:numPr>
        <w:tabs>
          <w:tab w:val="left" w:pos="340"/>
          <w:tab w:val="left" w:pos="680"/>
          <w:tab w:val="left" w:pos="1021"/>
          <w:tab w:val="left" w:pos="5103"/>
        </w:tabs>
        <w:ind w:left="851" w:hanging="284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b/>
          <w:color w:val="808080" w:themeColor="background1" w:themeShade="80"/>
          <w:lang w:val="de-AT"/>
        </w:rPr>
        <w:t>Vorlesungen verbunden mit Übungen (VU)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 dienen zur praktischen Bearbeitung konkreter Aufgaben eines Fachgebiets, die sich in Zusammenhang mit dem Vorlesungsteil stellen. </w:t>
      </w:r>
      <w:proofErr w:type="spellStart"/>
      <w:r>
        <w:rPr>
          <w:rFonts w:ascii="Times New Roman" w:hAnsi="Times New Roman" w:cs="Times New Roman"/>
          <w:color w:val="808080" w:themeColor="background1" w:themeShade="80"/>
        </w:rPr>
        <w:t>Teilungszahl</w:t>
      </w:r>
      <w:proofErr w:type="spellEnd"/>
      <w:r>
        <w:rPr>
          <w:rFonts w:ascii="Times New Roman" w:hAnsi="Times New Roman" w:cs="Times New Roman"/>
          <w:color w:val="808080" w:themeColor="background1" w:themeShade="80"/>
        </w:rPr>
        <w:t>: xx</w:t>
      </w:r>
      <w:r>
        <w:rPr>
          <w:rFonts w:ascii="Times New Roman" w:hAnsi="Times New Roman" w:cs="Times New Roman"/>
          <w:color w:val="808080" w:themeColor="background1" w:themeShade="80"/>
          <w:lang w:val="de-AT"/>
        </w:rPr>
        <w:t>*</w:t>
      </w:r>
    </w:p>
    <w:p w14:paraId="47F1B802" w14:textId="77777777" w:rsidR="005E12CF" w:rsidRDefault="001202AB">
      <w:pPr>
        <w:pStyle w:val="Listenabsatz"/>
        <w:widowControl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 xml:space="preserve">Die Teilungszahlen der Lehrveranstaltungen ergeben sich aus den jeweiligen Curricula, denen die Lehrveranstaltungen entnommen sind.* </w:t>
      </w:r>
    </w:p>
    <w:p w14:paraId="1F2D0E14" w14:textId="77777777" w:rsidR="005E12CF" w:rsidRDefault="001202AB">
      <w:pPr>
        <w:pStyle w:val="Listenabsatz"/>
        <w:widowControl/>
        <w:ind w:left="567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i/>
          <w:color w:val="808080" w:themeColor="background1" w:themeShade="80"/>
          <w:lang w:val="de-AT"/>
        </w:rPr>
        <w:t>(*ausschließlich Teilungszahlen für außercurriculare LV sind direkt unter den Lehrveranstaltungstypen in Abs. 1 und 2 anzuführen; ansonsten reicht der generelle Hinweis in Abs. 3.)</w:t>
      </w:r>
    </w:p>
    <w:p w14:paraId="1E81D794" w14:textId="77777777" w:rsidR="005E12CF" w:rsidRDefault="005E12CF">
      <w:pPr>
        <w:widowControl/>
        <w:jc w:val="both"/>
        <w:rPr>
          <w:rFonts w:ascii="Times New Roman" w:hAnsi="Times New Roman" w:cs="Times New Roman"/>
          <w:lang w:val="de-AT"/>
        </w:rPr>
      </w:pPr>
    </w:p>
    <w:p w14:paraId="76381916" w14:textId="15A71C38" w:rsidR="005E12CF" w:rsidRPr="003D4D1D" w:rsidRDefault="003D4D1D" w:rsidP="003D4D1D">
      <w:pPr>
        <w:ind w:left="567" w:hanging="567"/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b/>
          <w:lang w:val="de-AT"/>
        </w:rPr>
        <w:t>§ 5</w:t>
      </w:r>
      <w:r>
        <w:rPr>
          <w:rFonts w:ascii="Times New Roman" w:hAnsi="Times New Roman" w:cs="Times New Roman"/>
          <w:b/>
          <w:lang w:val="de-AT"/>
        </w:rPr>
        <w:tab/>
      </w:r>
      <w:r w:rsidR="001202AB" w:rsidRPr="003D4D1D">
        <w:rPr>
          <w:rFonts w:ascii="Times New Roman" w:hAnsi="Times New Roman" w:cs="Times New Roman"/>
          <w:b/>
          <w:lang w:val="de-AT"/>
        </w:rPr>
        <w:t>Verfahren zur Vergabe der Plätze bei Lehrveranstaltungen mit Teilnahmebeschränkung</w:t>
      </w:r>
    </w:p>
    <w:p w14:paraId="61275667" w14:textId="77777777" w:rsidR="005E12CF" w:rsidRDefault="001202AB">
      <w:pPr>
        <w:tabs>
          <w:tab w:val="left" w:pos="567"/>
        </w:tabs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lang w:val="de-AT"/>
        </w:rPr>
        <w:t>Bei Lehrveranstaltungen mit einer beschränkten Zahl von Teilnehmerinnen und Teilnehmern werden die Plätze wie folgt vergeben:</w:t>
      </w:r>
    </w:p>
    <w:p w14:paraId="3D2A9F89" w14:textId="77777777" w:rsidR="005E12CF" w:rsidRDefault="001202AB" w:rsidP="00CC7FA3">
      <w:pPr>
        <w:widowControl/>
        <w:numPr>
          <w:ilvl w:val="1"/>
          <w:numId w:val="4"/>
        </w:numPr>
        <w:ind w:left="851" w:hanging="284"/>
        <w:jc w:val="both"/>
        <w:rPr>
          <w:rFonts w:ascii="Times New Roman" w:eastAsia="Times New Roman" w:hAnsi="Times New Roman" w:cs="Times New Roman"/>
          <w:lang w:val="de-AT" w:eastAsia="de-AT"/>
        </w:rPr>
      </w:pPr>
      <w:r>
        <w:rPr>
          <w:rFonts w:ascii="Times New Roman" w:eastAsia="Times New Roman" w:hAnsi="Times New Roman" w:cs="Times New Roman"/>
          <w:lang w:val="de-AT" w:eastAsia="de-AT"/>
        </w:rPr>
        <w:t xml:space="preserve">Studierende, denen aufgrund der Zurückstellung eine Verlängerung der Studienzeit erwachsen würde, sind bevorzugt zuzulassen. </w:t>
      </w:r>
    </w:p>
    <w:p w14:paraId="273716C0" w14:textId="77777777" w:rsidR="005E12CF" w:rsidRDefault="001202AB" w:rsidP="00CC7FA3">
      <w:pPr>
        <w:widowControl/>
        <w:numPr>
          <w:ilvl w:val="1"/>
          <w:numId w:val="4"/>
        </w:numPr>
        <w:ind w:left="851" w:hanging="284"/>
        <w:jc w:val="both"/>
        <w:rPr>
          <w:rFonts w:ascii="Times New Roman" w:eastAsia="Times New Roman" w:hAnsi="Times New Roman" w:cs="Times New Roman"/>
          <w:lang w:val="de-AT" w:eastAsia="de-AT"/>
        </w:rPr>
      </w:pPr>
      <w:r>
        <w:rPr>
          <w:rFonts w:ascii="Times New Roman" w:eastAsia="Times New Roman" w:hAnsi="Times New Roman" w:cs="Times New Roman"/>
          <w:lang w:val="de-AT" w:eastAsia="de-AT"/>
        </w:rPr>
        <w:t>Reicht Kriterium gemäß Z 1 zur Regelung der Zulassung zu einer Lehrveranstaltung nicht aus, werden die vorhandenen Plätze verlost.</w:t>
      </w:r>
    </w:p>
    <w:p w14:paraId="07707E46" w14:textId="77777777" w:rsidR="005E12CF" w:rsidRDefault="005E12CF">
      <w:pPr>
        <w:widowControl/>
        <w:ind w:left="567"/>
        <w:jc w:val="both"/>
        <w:rPr>
          <w:rFonts w:ascii="Times New Roman" w:hAnsi="Times New Roman" w:cs="Times New Roman"/>
          <w:lang w:val="de-AT"/>
        </w:rPr>
      </w:pPr>
    </w:p>
    <w:p w14:paraId="01A8F197" w14:textId="28ED5060" w:rsidR="005E12CF" w:rsidRPr="003D4D1D" w:rsidRDefault="003D4D1D" w:rsidP="003D4D1D">
      <w:pPr>
        <w:ind w:left="567" w:hanging="567"/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b/>
          <w:lang w:val="de-AT"/>
        </w:rPr>
        <w:t>§ 6</w:t>
      </w:r>
      <w:r>
        <w:rPr>
          <w:rFonts w:ascii="Times New Roman" w:hAnsi="Times New Roman" w:cs="Times New Roman"/>
          <w:b/>
          <w:lang w:val="de-AT"/>
        </w:rPr>
        <w:tab/>
      </w:r>
      <w:r w:rsidR="001202AB" w:rsidRPr="003D4D1D">
        <w:rPr>
          <w:rFonts w:ascii="Times New Roman" w:hAnsi="Times New Roman" w:cs="Times New Roman"/>
          <w:b/>
          <w:lang w:val="de-AT"/>
        </w:rPr>
        <w:t>Module</w:t>
      </w:r>
    </w:p>
    <w:p w14:paraId="4948DD23" w14:textId="77777777" w:rsidR="005E12CF" w:rsidRDefault="001202AB">
      <w:pPr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Es sind folgende Pflichtmodule im Ausmaß von 30 ECTS-AP zu absolvieren: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6843"/>
        <w:gridCol w:w="737"/>
        <w:gridCol w:w="924"/>
      </w:tblGrid>
      <w:tr w:rsidR="005E12CF" w14:paraId="61C5C85A" w14:textId="77777777" w:rsidTr="00CC7FA3">
        <w:tc>
          <w:tcPr>
            <w:tcW w:w="567" w:type="dxa"/>
            <w:shd w:val="clear" w:color="auto" w:fill="D9D9D9"/>
            <w:vAlign w:val="center"/>
          </w:tcPr>
          <w:p w14:paraId="566D1B33" w14:textId="77777777" w:rsidR="005E12CF" w:rsidRDefault="001202AB" w:rsidP="00CC7FA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>1.</w:t>
            </w:r>
          </w:p>
        </w:tc>
        <w:tc>
          <w:tcPr>
            <w:tcW w:w="6843" w:type="dxa"/>
            <w:shd w:val="clear" w:color="auto" w:fill="D9D9D9"/>
            <w:vAlign w:val="center"/>
          </w:tcPr>
          <w:p w14:paraId="32B94B1F" w14:textId="77777777" w:rsidR="005E12CF" w:rsidRDefault="001202AB">
            <w:pPr>
              <w:keepNext/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 xml:space="preserve">Pflichtmodul: </w:t>
            </w:r>
            <w:r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  <w:t>xx (Modultitel)</w:t>
            </w:r>
          </w:p>
        </w:tc>
        <w:tc>
          <w:tcPr>
            <w:tcW w:w="737" w:type="dxa"/>
            <w:shd w:val="clear" w:color="auto" w:fill="D9D9D9"/>
            <w:vAlign w:val="center"/>
          </w:tcPr>
          <w:p w14:paraId="0983A4B4" w14:textId="77777777" w:rsidR="005E12CF" w:rsidRDefault="001202A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>SSt</w:t>
            </w:r>
            <w:proofErr w:type="spellEnd"/>
          </w:p>
        </w:tc>
        <w:tc>
          <w:tcPr>
            <w:tcW w:w="924" w:type="dxa"/>
            <w:shd w:val="clear" w:color="auto" w:fill="D9D9D9"/>
            <w:vAlign w:val="center"/>
          </w:tcPr>
          <w:p w14:paraId="1A5248F6" w14:textId="77777777" w:rsidR="005E12CF" w:rsidRDefault="001202A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>ECTS-AP</w:t>
            </w:r>
          </w:p>
        </w:tc>
      </w:tr>
      <w:tr w:rsidR="005E12CF" w14:paraId="0C50F551" w14:textId="77777777" w:rsidTr="00CC7FA3">
        <w:tc>
          <w:tcPr>
            <w:tcW w:w="567" w:type="dxa"/>
          </w:tcPr>
          <w:p w14:paraId="7BA40D5E" w14:textId="77777777" w:rsidR="005E12CF" w:rsidRDefault="001202AB" w:rsidP="00CC7FA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>a.</w:t>
            </w:r>
          </w:p>
        </w:tc>
        <w:tc>
          <w:tcPr>
            <w:tcW w:w="6843" w:type="dxa"/>
          </w:tcPr>
          <w:p w14:paraId="5FA1C5D5" w14:textId="77777777" w:rsidR="005E12CF" w:rsidRDefault="001202AB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 xml:space="preserve">LV-Typ &amp; LV-Titel </w:t>
            </w:r>
            <w:r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  <w:t xml:space="preserve">(VO </w:t>
            </w:r>
            <w:r>
              <w:rPr>
                <w:rFonts w:ascii="Times New Roman" w:eastAsia="Times New Roman" w:hAnsi="Times New Roman" w:cs="Times New Roman"/>
                <w:color w:val="808080"/>
                <w:lang w:val="de-AT" w:eastAsia="de-DE"/>
              </w:rPr>
              <w:t>xx)</w:t>
            </w:r>
          </w:p>
          <w:p w14:paraId="5C2F71CA" w14:textId="77777777" w:rsidR="005E12CF" w:rsidRDefault="001202AB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lang w:val="de-AT" w:eastAsia="de-DE"/>
              </w:rPr>
              <w:t>fakultativ LV-Beschreibung</w:t>
            </w:r>
          </w:p>
        </w:tc>
        <w:tc>
          <w:tcPr>
            <w:tcW w:w="737" w:type="dxa"/>
            <w:vAlign w:val="center"/>
          </w:tcPr>
          <w:p w14:paraId="232D446D" w14:textId="77777777" w:rsidR="005E12CF" w:rsidRDefault="001202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80808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lang w:val="de-DE" w:eastAsia="de-DE"/>
              </w:rPr>
              <w:t>x</w:t>
            </w:r>
          </w:p>
        </w:tc>
        <w:tc>
          <w:tcPr>
            <w:tcW w:w="924" w:type="dxa"/>
            <w:vAlign w:val="center"/>
          </w:tcPr>
          <w:p w14:paraId="1AA6CE9C" w14:textId="77777777" w:rsidR="005E12CF" w:rsidRDefault="001202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80808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lang w:val="de-DE" w:eastAsia="de-DE"/>
              </w:rPr>
              <w:t>x</w:t>
            </w:r>
          </w:p>
        </w:tc>
      </w:tr>
      <w:tr w:rsidR="005E12CF" w14:paraId="2ECA9D0C" w14:textId="77777777" w:rsidTr="00CC7FA3">
        <w:tc>
          <w:tcPr>
            <w:tcW w:w="567" w:type="dxa"/>
          </w:tcPr>
          <w:p w14:paraId="18DFD236" w14:textId="77777777" w:rsidR="005E12CF" w:rsidRDefault="001202AB" w:rsidP="00CC7FA3">
            <w:pPr>
              <w:widowControl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>b.</w:t>
            </w:r>
          </w:p>
        </w:tc>
        <w:tc>
          <w:tcPr>
            <w:tcW w:w="6843" w:type="dxa"/>
          </w:tcPr>
          <w:p w14:paraId="5D90146B" w14:textId="77777777" w:rsidR="005E12CF" w:rsidRDefault="001202AB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 xml:space="preserve">LV-Typ &amp; LV-Titel </w:t>
            </w:r>
            <w:r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  <w:t xml:space="preserve">(UE </w:t>
            </w:r>
            <w:r>
              <w:rPr>
                <w:rFonts w:ascii="Times New Roman" w:eastAsia="Times New Roman" w:hAnsi="Times New Roman" w:cs="Times New Roman"/>
                <w:color w:val="808080"/>
                <w:lang w:val="de-AT" w:eastAsia="de-DE"/>
              </w:rPr>
              <w:t>xx)</w:t>
            </w:r>
          </w:p>
          <w:p w14:paraId="7B6C2C8D" w14:textId="77777777" w:rsidR="005E12CF" w:rsidRDefault="001202A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lang w:val="de-AT" w:eastAsia="de-DE"/>
              </w:rPr>
              <w:t>fakultativ LV-Beschreibung</w:t>
            </w:r>
          </w:p>
        </w:tc>
        <w:tc>
          <w:tcPr>
            <w:tcW w:w="737" w:type="dxa"/>
            <w:vAlign w:val="center"/>
          </w:tcPr>
          <w:p w14:paraId="7FF61BB3" w14:textId="77777777" w:rsidR="005E12CF" w:rsidRDefault="001202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80808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lang w:val="de-DE" w:eastAsia="de-DE"/>
              </w:rPr>
              <w:t>x</w:t>
            </w:r>
          </w:p>
        </w:tc>
        <w:tc>
          <w:tcPr>
            <w:tcW w:w="924" w:type="dxa"/>
            <w:vAlign w:val="center"/>
          </w:tcPr>
          <w:p w14:paraId="1F91933F" w14:textId="77777777" w:rsidR="005E12CF" w:rsidRDefault="001202AB">
            <w:pPr>
              <w:widowControl/>
              <w:jc w:val="center"/>
              <w:rPr>
                <w:rFonts w:ascii="Times New Roman" w:eastAsia="Times New Roman" w:hAnsi="Times New Roman" w:cs="Times New Roman"/>
                <w:color w:val="808080"/>
                <w:lang w:val="de-DE" w:eastAsia="de-DE"/>
              </w:rPr>
            </w:pPr>
            <w:r>
              <w:rPr>
                <w:rFonts w:ascii="Times New Roman" w:eastAsia="Times New Roman" w:hAnsi="Times New Roman" w:cs="Times New Roman"/>
                <w:color w:val="808080"/>
                <w:lang w:val="de-DE" w:eastAsia="de-DE"/>
              </w:rPr>
              <w:t>x</w:t>
            </w:r>
          </w:p>
        </w:tc>
      </w:tr>
      <w:tr w:rsidR="005E12CF" w14:paraId="01B2F407" w14:textId="77777777" w:rsidTr="00CC7FA3"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A1F0" w14:textId="77777777" w:rsidR="005E12CF" w:rsidRDefault="005E12C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6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4018" w14:textId="77777777" w:rsidR="005E12CF" w:rsidRDefault="001202A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>Summe</w:t>
            </w:r>
          </w:p>
        </w:tc>
        <w:tc>
          <w:tcPr>
            <w:tcW w:w="7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8C45" w14:textId="77777777" w:rsidR="005E12CF" w:rsidRDefault="001202A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  <w:t>x</w:t>
            </w:r>
          </w:p>
        </w:tc>
        <w:tc>
          <w:tcPr>
            <w:tcW w:w="9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0BB5" w14:textId="77777777" w:rsidR="005E12CF" w:rsidRDefault="001202A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808080"/>
                <w:lang w:val="de-AT" w:eastAsia="de-DE"/>
              </w:rPr>
              <w:fldChar w:fldCharType="end"/>
            </w:r>
          </w:p>
        </w:tc>
      </w:tr>
      <w:tr w:rsidR="005E12CF" w:rsidRPr="00CC7FA3" w14:paraId="615A964B" w14:textId="77777777" w:rsidTr="00CC7FA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58C7" w14:textId="77777777" w:rsidR="005E12CF" w:rsidRDefault="005E12CF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8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82B8E3" w14:textId="77777777" w:rsidR="005E12CF" w:rsidRDefault="001202AB">
            <w:pPr>
              <w:keepNext/>
              <w:widowControl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>Lernergebnisse:</w:t>
            </w:r>
          </w:p>
          <w:p w14:paraId="6CFBD133" w14:textId="77777777" w:rsidR="005E12CF" w:rsidRDefault="001202AB">
            <w:pPr>
              <w:widowControl/>
              <w:jc w:val="both"/>
              <w:rPr>
                <w:rFonts w:ascii="Times New Roman" w:eastAsia="Times New Roman" w:hAnsi="Times New Roman" w:cs="Times New Roman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lang w:val="de-AT" w:eastAsia="de-DE"/>
              </w:rPr>
              <w:t>ad a.:</w:t>
            </w:r>
          </w:p>
          <w:p w14:paraId="139591BC" w14:textId="77777777" w:rsidR="005E12CF" w:rsidRDefault="001202AB">
            <w:pPr>
              <w:widowControl/>
              <w:jc w:val="both"/>
              <w:rPr>
                <w:rFonts w:ascii="Times New Roman" w:eastAsia="Times New Roman" w:hAnsi="Times New Roman" w:cs="Times New Roman"/>
                <w:color w:val="80808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AT" w:eastAsia="de-DE"/>
              </w:rPr>
              <w:t>Die Studierenden sind in der Lage,</w:t>
            </w:r>
            <w:r>
              <w:rPr>
                <w:rFonts w:ascii="Times New Roman" w:eastAsia="Times New Roman" w:hAnsi="Times New Roman" w:cs="Times New Roman"/>
                <w:color w:val="808080"/>
                <w:lang w:val="de-AT" w:eastAsia="de-DE"/>
              </w:rPr>
              <w:t xml:space="preserve"> […].</w:t>
            </w:r>
          </w:p>
          <w:p w14:paraId="6C0484AE" w14:textId="77777777" w:rsidR="005E12CF" w:rsidRDefault="001202AB">
            <w:pPr>
              <w:widowControl/>
              <w:jc w:val="both"/>
              <w:rPr>
                <w:rFonts w:ascii="Times New Roman" w:eastAsia="Times New Roman" w:hAnsi="Times New Roman" w:cs="Times New Roman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lang w:val="de-AT" w:eastAsia="de-DE"/>
              </w:rPr>
              <w:t>ad b.:</w:t>
            </w:r>
          </w:p>
          <w:p w14:paraId="0462E793" w14:textId="77777777" w:rsidR="005E12CF" w:rsidRDefault="001202AB">
            <w:pPr>
              <w:widowControl/>
              <w:jc w:val="both"/>
              <w:rPr>
                <w:rFonts w:ascii="Times New Roman" w:eastAsia="Times New Roman" w:hAnsi="Times New Roman" w:cs="Times New Roman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AT" w:eastAsia="de-DE"/>
              </w:rPr>
              <w:t xml:space="preserve">Die Studierenden können </w:t>
            </w:r>
            <w:r>
              <w:rPr>
                <w:rFonts w:ascii="Times New Roman" w:eastAsia="Times New Roman" w:hAnsi="Times New Roman" w:cs="Times New Roman"/>
                <w:color w:val="808080"/>
                <w:lang w:val="de-AT" w:eastAsia="de-DE"/>
              </w:rPr>
              <w:t>[…].</w:t>
            </w:r>
          </w:p>
        </w:tc>
      </w:tr>
      <w:tr w:rsidR="005E12CF" w14:paraId="24FC16E5" w14:textId="77777777" w:rsidTr="00CC7FA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954F" w14:textId="77777777" w:rsidR="005E12CF" w:rsidRDefault="005E12CF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</w:pPr>
          </w:p>
        </w:tc>
        <w:tc>
          <w:tcPr>
            <w:tcW w:w="8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20DE47" w14:textId="77777777" w:rsidR="005E12CF" w:rsidRDefault="001202A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de-AT" w:eastAsia="de-DE"/>
              </w:rPr>
              <w:t>Anmeldungsvoraussetzung/en: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080"/>
                <w:lang w:val="de-DE" w:eastAsia="de-DE"/>
              </w:rPr>
              <w:t>keine</w:t>
            </w:r>
          </w:p>
        </w:tc>
      </w:tr>
    </w:tbl>
    <w:p w14:paraId="76072581" w14:textId="77777777" w:rsidR="005E12CF" w:rsidRDefault="005E12CF">
      <w:pPr>
        <w:jc w:val="both"/>
        <w:rPr>
          <w:rFonts w:ascii="Times New Roman" w:hAnsi="Times New Roman" w:cs="Times New Roman"/>
          <w:lang w:val="de-AT"/>
        </w:rPr>
      </w:pPr>
    </w:p>
    <w:p w14:paraId="0B36CFA9" w14:textId="6BB3EECA" w:rsidR="005E12CF" w:rsidRPr="003D4D1D" w:rsidRDefault="003D4D1D" w:rsidP="003D4D1D">
      <w:pPr>
        <w:ind w:left="567" w:hanging="567"/>
        <w:jc w:val="both"/>
        <w:rPr>
          <w:rFonts w:ascii="Times New Roman" w:hAnsi="Times New Roman" w:cs="Times New Roman"/>
          <w:b/>
          <w:lang w:val="de-AT"/>
        </w:rPr>
      </w:pPr>
      <w:r>
        <w:rPr>
          <w:rFonts w:ascii="Times New Roman" w:hAnsi="Times New Roman" w:cs="Times New Roman"/>
          <w:b/>
          <w:lang w:val="de-AT"/>
        </w:rPr>
        <w:t>§ 7</w:t>
      </w:r>
      <w:r>
        <w:rPr>
          <w:rFonts w:ascii="Times New Roman" w:hAnsi="Times New Roman" w:cs="Times New Roman"/>
          <w:b/>
          <w:lang w:val="de-AT"/>
        </w:rPr>
        <w:tab/>
      </w:r>
      <w:r w:rsidR="001202AB" w:rsidRPr="003D4D1D">
        <w:rPr>
          <w:rFonts w:ascii="Times New Roman" w:hAnsi="Times New Roman" w:cs="Times New Roman"/>
          <w:b/>
          <w:lang w:val="de-AT"/>
        </w:rPr>
        <w:t>Prüfungsordnung</w:t>
      </w:r>
    </w:p>
    <w:p w14:paraId="50C93B5E" w14:textId="77777777" w:rsidR="005E12CF" w:rsidRDefault="001202AB" w:rsidP="00CC7FA3">
      <w:pPr>
        <w:pStyle w:val="Listenabsatz"/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 xml:space="preserve">Die Leistungsbeurteilung der Module erfolgt nach der Prüfungsordnung jenes Curriculums, dem diese entnommen sind. </w:t>
      </w:r>
    </w:p>
    <w:p w14:paraId="52F76F19" w14:textId="77777777" w:rsidR="005E12CF" w:rsidRDefault="001202AB" w:rsidP="00CC7FA3">
      <w:pPr>
        <w:pStyle w:val="Listenabsatz"/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color w:val="808080" w:themeColor="background1" w:themeShade="80"/>
          <w:lang w:val="de-AT"/>
        </w:rPr>
        <w:t xml:space="preserve">Die Leistungsbeurteilung außercurricularer Module oder Lehrveranstaltungen erfolgt nach der Prüfungsordnung des das Wahlpaket aufnehmenden Curriculums. </w:t>
      </w:r>
    </w:p>
    <w:p w14:paraId="796DE5C6" w14:textId="77777777" w:rsidR="005E12CF" w:rsidRDefault="000552AB" w:rsidP="00CC7FA3">
      <w:pPr>
        <w:pStyle w:val="Listenabsatz"/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 xml:space="preserve">Allgemein gilt: </w:t>
      </w:r>
      <w:r w:rsidR="001202AB">
        <w:rPr>
          <w:rFonts w:ascii="Times New Roman" w:hAnsi="Times New Roman" w:cs="Times New Roman"/>
          <w:lang w:val="de-AT"/>
        </w:rPr>
        <w:t>Lehrveranstaltungsprüfungen dienen dem Nachweis der Kenntnisse und Fertigkeiten, die durch eine einzelne Lehrveranstaltung vermittelt wurden, wobei</w:t>
      </w:r>
    </w:p>
    <w:p w14:paraId="0814D904" w14:textId="77777777" w:rsidR="005E12CF" w:rsidRDefault="001202AB" w:rsidP="00CC7FA3">
      <w:pPr>
        <w:pStyle w:val="Listenabsatz"/>
        <w:widowControl/>
        <w:ind w:left="851" w:hanging="284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1.</w:t>
      </w:r>
      <w:r>
        <w:rPr>
          <w:rFonts w:ascii="Times New Roman" w:hAnsi="Times New Roman" w:cs="Times New Roman"/>
          <w:lang w:val="de-AT"/>
        </w:rPr>
        <w:tab/>
        <w:t>bei nicht-prüfungsimmanenten Lehrveranstaltungen die Beurteilung aufgrund eines einzigen Prüfungsaktes am Ende der Lehrveranstaltung erfolgt;</w:t>
      </w:r>
    </w:p>
    <w:p w14:paraId="22D61A23" w14:textId="77777777" w:rsidR="005E12CF" w:rsidRDefault="001202AB" w:rsidP="00CC7FA3">
      <w:pPr>
        <w:pStyle w:val="Listenabsatz"/>
        <w:widowControl/>
        <w:ind w:left="851" w:hanging="284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2.</w:t>
      </w:r>
      <w:r>
        <w:rPr>
          <w:rFonts w:ascii="Times New Roman" w:hAnsi="Times New Roman" w:cs="Times New Roman"/>
          <w:lang w:val="de-AT"/>
        </w:rPr>
        <w:tab/>
        <w:t xml:space="preserve">bei prüfungsimmanenten Lehrveranstaltungen die Beurteilung aufgrund von mindestens zwei schriftlichen, mündlichen und/oder praktischen Beiträgen der Teilnehmerinnen und Teilnehmer erfolgt. </w:t>
      </w:r>
    </w:p>
    <w:p w14:paraId="0AB58696" w14:textId="77777777" w:rsidR="005E12CF" w:rsidRDefault="005E12CF" w:rsidP="00CC7FA3">
      <w:pPr>
        <w:pStyle w:val="Listenabsatz"/>
        <w:widowControl/>
        <w:ind w:left="567" w:hanging="567"/>
        <w:jc w:val="both"/>
        <w:rPr>
          <w:rFonts w:ascii="Times New Roman" w:hAnsi="Times New Roman" w:cs="Times New Roman"/>
          <w:lang w:val="de-AT"/>
        </w:rPr>
      </w:pPr>
    </w:p>
    <w:p w14:paraId="70F8E21C" w14:textId="77777777" w:rsidR="005E12CF" w:rsidRDefault="001202AB" w:rsidP="00CC7FA3">
      <w:pPr>
        <w:pStyle w:val="Listenabsatz"/>
        <w:widowControl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lastRenderedPageBreak/>
        <w:t>Die Lehrveranstaltungsleiterin bzw. der Lehrveranstaltungsleiter hat vor Beginn des Semesters die Prüfungsmethode (schriftlich und/oder mündlich, Prüfungsarbeit) und die Beurteilungskriterien festzulegen und bekanntzugeben.</w:t>
      </w:r>
    </w:p>
    <w:p w14:paraId="1707402A" w14:textId="77777777" w:rsidR="005E12CF" w:rsidRDefault="005E12CF">
      <w:pPr>
        <w:jc w:val="both"/>
        <w:rPr>
          <w:rFonts w:ascii="Times New Roman" w:hAnsi="Times New Roman" w:cs="Times New Roman"/>
          <w:lang w:val="de-AT"/>
        </w:rPr>
      </w:pPr>
    </w:p>
    <w:p w14:paraId="0C3545A1" w14:textId="77777777" w:rsidR="00C77DAA" w:rsidRDefault="00C77DAA">
      <w:pPr>
        <w:jc w:val="both"/>
        <w:rPr>
          <w:rFonts w:ascii="Times New Roman" w:hAnsi="Times New Roman" w:cs="Times New Roman"/>
          <w:lang w:val="de-AT"/>
        </w:rPr>
      </w:pPr>
    </w:p>
    <w:p w14:paraId="72BCF811" w14:textId="77777777" w:rsidR="005E12CF" w:rsidRDefault="001202AB">
      <w:pPr>
        <w:pStyle w:val="PARAAbsAufzhlungmN"/>
        <w:tabs>
          <w:tab w:val="center" w:pos="2268"/>
          <w:tab w:val="center" w:pos="6804"/>
        </w:tabs>
        <w:spacing w:before="0" w:after="144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Für die Curriculum-Kommission:</w:t>
      </w:r>
    </w:p>
    <w:p w14:paraId="5685A86C" w14:textId="77777777" w:rsidR="005E12CF" w:rsidRDefault="001202AB">
      <w:pPr>
        <w:jc w:val="center"/>
        <w:rPr>
          <w:rFonts w:ascii="Times New Roman" w:hAnsi="Times New Roman" w:cs="Times New Roman"/>
          <w:color w:val="808080" w:themeColor="background1" w:themeShade="80"/>
          <w:lang w:val="de-AT"/>
        </w:rPr>
      </w:pPr>
      <w:r>
        <w:rPr>
          <w:rFonts w:ascii="Times New Roman" w:hAnsi="Times New Roman" w:cs="Times New Roman"/>
          <w:color w:val="808080" w:themeColor="background1" w:themeShade="80"/>
          <w:lang w:val="de-AT"/>
        </w:rPr>
        <w:t>xxx</w:t>
      </w:r>
    </w:p>
    <w:p w14:paraId="609B2800" w14:textId="77777777" w:rsidR="005E12CF" w:rsidRDefault="001202AB" w:rsidP="00261691">
      <w:pPr>
        <w:jc w:val="center"/>
        <w:rPr>
          <w:rFonts w:ascii="Times New Roman" w:hAnsi="Times New Roman" w:cs="Times New Roman"/>
          <w:iCs/>
          <w:lang w:val="de-AT"/>
        </w:rPr>
      </w:pPr>
      <w:r>
        <w:rPr>
          <w:rFonts w:ascii="Times New Roman" w:hAnsi="Times New Roman" w:cs="Times New Roman"/>
          <w:noProof/>
          <w:lang w:val="de-AT"/>
        </w:rPr>
        <mc:AlternateContent>
          <mc:Choice Requires="wpg">
            <w:drawing>
              <wp:inline distT="0" distB="0" distL="0" distR="0" wp14:anchorId="17878E56" wp14:editId="466C4705">
                <wp:extent cx="2811145" cy="635"/>
                <wp:effectExtent l="0" t="0" r="0" b="0"/>
                <wp:docPr id="4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145" cy="63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shape 3" o:spid="_x0000_s3" o:spt="1" type="#_x0000_t1" style="width:221.35pt;height:0.05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 w14:paraId="3B5A7000" w14:textId="77777777" w:rsidR="005E12CF" w:rsidRDefault="005E12CF" w:rsidP="00261691">
      <w:pPr>
        <w:widowControl/>
        <w:jc w:val="center"/>
        <w:rPr>
          <w:rFonts w:ascii="Times New Roman" w:hAnsi="Times New Roman" w:cs="Times New Roman"/>
          <w:lang w:val="de-AT"/>
        </w:rPr>
      </w:pPr>
    </w:p>
    <w:sectPr w:rsidR="005E1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3ACC" w14:textId="77777777" w:rsidR="0073758F" w:rsidRDefault="0073758F">
      <w:r>
        <w:separator/>
      </w:r>
    </w:p>
  </w:endnote>
  <w:endnote w:type="continuationSeparator" w:id="0">
    <w:p w14:paraId="7A66BDB8" w14:textId="77777777" w:rsidR="0073758F" w:rsidRDefault="0073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5980" w14:textId="77777777" w:rsidR="005E12CF" w:rsidRDefault="005E12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95DE" w14:textId="77777777" w:rsidR="005E12CF" w:rsidRDefault="005E12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6F61" w14:textId="77777777" w:rsidR="005E12CF" w:rsidRDefault="005E12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539F" w14:textId="77777777" w:rsidR="0073758F" w:rsidRDefault="0073758F">
      <w:r>
        <w:separator/>
      </w:r>
    </w:p>
  </w:footnote>
  <w:footnote w:type="continuationSeparator" w:id="0">
    <w:p w14:paraId="7513E471" w14:textId="77777777" w:rsidR="0073758F" w:rsidRDefault="0073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2AD4" w14:textId="77777777" w:rsidR="005E12CF" w:rsidRDefault="001202A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50FD9C" wp14:editId="1F1E1A5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5155" cy="2436495"/>
              <wp:effectExtent l="0" t="0" r="0" b="0"/>
              <wp:wrapNone/>
              <wp:docPr id="2" name="PowerPlusWaterMarkObject857522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526B3" w14:textId="77777777" w:rsidR="005E12CF" w:rsidRDefault="001202AB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MUSTER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5550FD9C" id="PowerPlusWaterMarkObject857522219" o:spid="_x0000_s1026" style="position:absolute;margin-left:0;margin-top:0;width:447.65pt;height:191.85pt;rotation:-45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" o:allowincell="f" filled="f" stroked="f">
              <v:textbox inset="0,0,0,0">
                <w:txbxContent>
                  <w:p w14:paraId="33A526B3" w14:textId="77777777" w:rsidR="005E12CF" w:rsidRDefault="001202AB">
                    <w:pPr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MUSTER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438B" w14:textId="77777777" w:rsidR="005E12CF" w:rsidRDefault="001202A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0E67A0A" wp14:editId="04E4AF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5155" cy="2436495"/>
              <wp:effectExtent l="0" t="0" r="0" b="0"/>
              <wp:wrapNone/>
              <wp:docPr id="1" name="PowerPlusWaterMarkObject857522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61B89" w14:textId="77777777" w:rsidR="005E12CF" w:rsidRDefault="001202AB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MUSTER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60E67A0A" id="PowerPlusWaterMarkObject857522220" o:spid="_x0000_s1027" style="position:absolute;margin-left:0;margin-top:0;width:447.65pt;height:191.85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" o:allowincell="f" filled="f" stroked="f">
              <v:textbox inset="0,0,0,0">
                <w:txbxContent>
                  <w:p w14:paraId="2B661B89" w14:textId="77777777" w:rsidR="005E12CF" w:rsidRDefault="001202AB">
                    <w:pPr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MUSTER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66C6" w14:textId="77777777" w:rsidR="005E12CF" w:rsidRDefault="001202A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41D0C6C" wp14:editId="79725E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5155" cy="2436495"/>
              <wp:effectExtent l="0" t="0" r="0" b="0"/>
              <wp:wrapNone/>
              <wp:docPr id="3" name="PowerPlusWaterMarkObject857522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D01A5" w14:textId="77777777" w:rsidR="005E12CF" w:rsidRDefault="001202AB">
                          <w:pPr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MUSTER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rect w14:anchorId="541D0C6C" id="PowerPlusWaterMarkObject857522218" o:spid="_x0000_s1028" style="position:absolute;margin-left:0;margin-top:0;width:447.65pt;height:191.85pt;rotation:-45;z-index:-25165619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" o:allowincell="f" filled="f" stroked="f">
              <v:textbox inset="0,0,0,0">
                <w:txbxContent>
                  <w:p w14:paraId="020D01A5" w14:textId="77777777" w:rsidR="005E12CF" w:rsidRDefault="001202AB">
                    <w:pPr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MUSTER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3A82"/>
    <w:multiLevelType w:val="multilevel"/>
    <w:tmpl w:val="B9022F0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00742"/>
    <w:multiLevelType w:val="multilevel"/>
    <w:tmpl w:val="35266F78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A46F8"/>
    <w:multiLevelType w:val="multilevel"/>
    <w:tmpl w:val="D4E867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F4063"/>
    <w:multiLevelType w:val="multilevel"/>
    <w:tmpl w:val="334AF5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17CF7"/>
    <w:multiLevelType w:val="multilevel"/>
    <w:tmpl w:val="E240569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A141B9"/>
    <w:multiLevelType w:val="multilevel"/>
    <w:tmpl w:val="39BC44B8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2021F8"/>
    <w:multiLevelType w:val="multilevel"/>
    <w:tmpl w:val="BE427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59F2"/>
    <w:multiLevelType w:val="multilevel"/>
    <w:tmpl w:val="BBA410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80FE7"/>
    <w:multiLevelType w:val="multilevel"/>
    <w:tmpl w:val="334AF5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8F7629"/>
    <w:multiLevelType w:val="multilevel"/>
    <w:tmpl w:val="99A24A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6787B"/>
    <w:multiLevelType w:val="multilevel"/>
    <w:tmpl w:val="B628C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117493">
    <w:abstractNumId w:val="6"/>
  </w:num>
  <w:num w:numId="2" w16cid:durableId="2120642571">
    <w:abstractNumId w:val="3"/>
  </w:num>
  <w:num w:numId="3" w16cid:durableId="1455293851">
    <w:abstractNumId w:val="4"/>
  </w:num>
  <w:num w:numId="4" w16cid:durableId="1711490687">
    <w:abstractNumId w:val="1"/>
  </w:num>
  <w:num w:numId="5" w16cid:durableId="1427649109">
    <w:abstractNumId w:val="0"/>
  </w:num>
  <w:num w:numId="6" w16cid:durableId="1771386308">
    <w:abstractNumId w:val="10"/>
  </w:num>
  <w:num w:numId="7" w16cid:durableId="1092704202">
    <w:abstractNumId w:val="2"/>
  </w:num>
  <w:num w:numId="8" w16cid:durableId="577791215">
    <w:abstractNumId w:val="7"/>
  </w:num>
  <w:num w:numId="9" w16cid:durableId="60956027">
    <w:abstractNumId w:val="9"/>
  </w:num>
  <w:num w:numId="10" w16cid:durableId="834733903">
    <w:abstractNumId w:val="5"/>
  </w:num>
  <w:num w:numId="11" w16cid:durableId="1184593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CF"/>
    <w:rsid w:val="000552AB"/>
    <w:rsid w:val="001202AB"/>
    <w:rsid w:val="00261691"/>
    <w:rsid w:val="002D391C"/>
    <w:rsid w:val="003D4D1D"/>
    <w:rsid w:val="0040639F"/>
    <w:rsid w:val="005E12CF"/>
    <w:rsid w:val="0073758F"/>
    <w:rsid w:val="008E3E69"/>
    <w:rsid w:val="00C03BF1"/>
    <w:rsid w:val="00C77DAA"/>
    <w:rsid w:val="00C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BE5D"/>
  <w15:docId w15:val="{9BA4378E-ACE4-4986-B3DC-06D64E52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A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PARAAbsAufzhlungmNZchn">
    <w:name w:val="§ PARA_Abs Aufzählung mN Zchn"/>
    <w:link w:val="PARAAbsAufzhlungmN"/>
    <w:qFormat/>
    <w:rPr>
      <w:lang w:eastAsia="de-DE"/>
    </w:rPr>
  </w:style>
  <w:style w:type="paragraph" w:customStyle="1" w:styleId="PARAAbsAufzhlungmN">
    <w:name w:val="§ PARA_Abs Aufzählung mN"/>
    <w:basedOn w:val="Standard"/>
    <w:link w:val="PARAAbsAufzhlungmNZchn"/>
    <w:qFormat/>
    <w:pPr>
      <w:widowControl/>
      <w:spacing w:before="120"/>
      <w:jc w:val="both"/>
    </w:pPr>
    <w:rPr>
      <w:lang w:val="de-AT"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en-US"/>
    </w:rPr>
  </w:style>
  <w:style w:type="paragraph" w:customStyle="1" w:styleId="Abstand">
    <w:name w:val="Abstand"/>
    <w:basedOn w:val="Standard"/>
    <w:uiPriority w:val="99"/>
    <w:pPr>
      <w:widowControl/>
      <w:spacing w:before="240" w:after="240"/>
      <w:jc w:val="both"/>
    </w:pPr>
    <w:rPr>
      <w:rFonts w:ascii="Times New Roman" w:eastAsia="Times New Roman" w:hAnsi="Times New Roman" w:cs="Times New Roman"/>
      <w:lang w:val="de-AT" w:eastAsia="de-DE"/>
    </w:rPr>
  </w:style>
  <w:style w:type="paragraph" w:customStyle="1" w:styleId="paragraf-ziffer">
    <w:name w:val="paragraf-ziffer"/>
    <w:basedOn w:val="Standard"/>
    <w:pPr>
      <w:widowControl/>
      <w:tabs>
        <w:tab w:val="left" w:pos="709"/>
      </w:tabs>
      <w:spacing w:before="240" w:line="36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Bond, Désirée</dc:creator>
  <cp:keywords/>
  <dc:description/>
  <cp:lastModifiedBy>Liepert, Irina</cp:lastModifiedBy>
  <cp:revision>18</cp:revision>
  <dcterms:created xsi:type="dcterms:W3CDTF">2025-06-16T13:12:00Z</dcterms:created>
  <dcterms:modified xsi:type="dcterms:W3CDTF">2026-02-05T09:11:00Z</dcterms:modified>
</cp:coreProperties>
</file>