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FBA0B3C" w:rsidR="00671E08" w:rsidRPr="00F01EF3" w:rsidRDefault="00290A29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F01EF3">
        <w:rPr>
          <w:rFonts w:cstheme="minorHAnsi"/>
          <w:b/>
          <w:bCs/>
          <w:i/>
          <w:iCs/>
          <w:noProof/>
          <w:sz w:val="32"/>
          <w:szCs w:val="32"/>
        </w:rPr>
        <w:t>Erigeron annuus</w:t>
      </w:r>
      <w:r w:rsidR="00807A9A" w:rsidRPr="00F01EF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807A9A" w:rsidRPr="00F01EF3">
        <w:rPr>
          <w:rFonts w:cstheme="minorHAnsi"/>
          <w:b/>
          <w:bCs/>
          <w:noProof/>
          <w:sz w:val="32"/>
          <w:szCs w:val="32"/>
        </w:rPr>
        <w:t>s.</w:t>
      </w:r>
      <w:r w:rsidR="00824D1C" w:rsidRPr="00F01EF3">
        <w:rPr>
          <w:rFonts w:cstheme="minorHAnsi"/>
          <w:b/>
          <w:bCs/>
          <w:noProof/>
          <w:sz w:val="32"/>
          <w:szCs w:val="32"/>
        </w:rPr>
        <w:t>l.</w:t>
      </w:r>
      <w:r w:rsidR="00824D1C" w:rsidRPr="00F01EF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F01EF3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F01EF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F01EF3">
        <w:rPr>
          <w:rFonts w:cstheme="minorHAnsi"/>
          <w:b/>
          <w:bCs/>
          <w:noProof/>
          <w:sz w:val="32"/>
          <w:szCs w:val="32"/>
        </w:rPr>
        <w:t>Einjahrs-Feinstrahl</w:t>
      </w:r>
      <w:r w:rsidR="00847383" w:rsidRPr="00F01EF3">
        <w:rPr>
          <w:rFonts w:cstheme="minorHAnsi"/>
          <w:b/>
          <w:bCs/>
          <w:noProof/>
          <w:sz w:val="32"/>
          <w:szCs w:val="32"/>
        </w:rPr>
        <w:t xml:space="preserve"> </w:t>
      </w:r>
      <w:r w:rsidRPr="00F01EF3">
        <w:rPr>
          <w:rFonts w:cstheme="minorHAnsi"/>
          <w:b/>
          <w:bCs/>
          <w:noProof/>
          <w:sz w:val="32"/>
          <w:szCs w:val="32"/>
        </w:rPr>
        <w:t>(Einjähriges B</w:t>
      </w:r>
      <w:r w:rsidR="00C365AF" w:rsidRPr="00F01EF3">
        <w:rPr>
          <w:rFonts w:cstheme="minorHAnsi"/>
          <w:b/>
          <w:bCs/>
          <w:noProof/>
          <w:sz w:val="32"/>
          <w:szCs w:val="32"/>
        </w:rPr>
        <w:t>erufskraut)</w:t>
      </w:r>
    </w:p>
    <w:p w14:paraId="0413B947" w14:textId="7501B974" w:rsidR="00671E08" w:rsidRPr="00F01EF3" w:rsidRDefault="007B3EE2" w:rsidP="00671E08">
      <w:pPr>
        <w:rPr>
          <w:rFonts w:cstheme="minorHAnsi"/>
          <w:noProof/>
          <w:sz w:val="24"/>
          <w:szCs w:val="24"/>
        </w:rPr>
      </w:pPr>
      <w:r w:rsidRPr="00F01EF3">
        <w:rPr>
          <w:rFonts w:cstheme="minorHAnsi"/>
          <w:noProof/>
          <w:sz w:val="24"/>
          <w:szCs w:val="24"/>
        </w:rPr>
        <w:t>[</w:t>
      </w:r>
      <w:r w:rsidR="00290A29" w:rsidRPr="00F01EF3">
        <w:rPr>
          <w:rFonts w:cstheme="minorHAnsi"/>
          <w:noProof/>
          <w:sz w:val="24"/>
          <w:szCs w:val="24"/>
        </w:rPr>
        <w:t>Asteraceae, Korbblütler</w:t>
      </w:r>
      <w:r w:rsidR="00671E08" w:rsidRPr="00F01EF3">
        <w:rPr>
          <w:rFonts w:cstheme="minorHAnsi"/>
          <w:noProof/>
          <w:sz w:val="24"/>
          <w:szCs w:val="24"/>
        </w:rPr>
        <w:t>]</w:t>
      </w:r>
    </w:p>
    <w:p w14:paraId="1CAFF514" w14:textId="77777777" w:rsidR="0005312B" w:rsidRPr="00F01EF3" w:rsidRDefault="0005312B" w:rsidP="00671E08">
      <w:pPr>
        <w:rPr>
          <w:rFonts w:cstheme="minorHAnsi"/>
          <w:noProof/>
          <w:sz w:val="24"/>
          <w:szCs w:val="24"/>
        </w:rPr>
      </w:pPr>
    </w:p>
    <w:p w14:paraId="03B79424" w14:textId="35479CCD" w:rsidR="00671E08" w:rsidRPr="00F01EF3" w:rsidRDefault="0005312B" w:rsidP="0005312B">
      <w:pPr>
        <w:jc w:val="center"/>
        <w:rPr>
          <w:rFonts w:cstheme="minorHAnsi"/>
          <w:noProof/>
          <w:sz w:val="24"/>
          <w:szCs w:val="24"/>
        </w:rPr>
      </w:pPr>
      <w:r w:rsidRPr="00F01EF3">
        <w:rPr>
          <w:rFonts w:cstheme="minorHAnsi"/>
          <w:noProof/>
          <w:sz w:val="24"/>
          <w:szCs w:val="24"/>
        </w:rPr>
        <w:drawing>
          <wp:inline distT="0" distB="0" distL="0" distR="0" wp14:anchorId="1B22D671" wp14:editId="37C2CAD4">
            <wp:extent cx="2552231" cy="2160000"/>
            <wp:effectExtent l="0" t="0" r="635" b="0"/>
            <wp:docPr id="1245170194" name="Grafik 3" descr="Ein Bild, das draußen, Pflanze, Blume, Halbstr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70194" name="Grafik 3" descr="Ein Bild, das draußen, Pflanze, Blume, Halbstrauch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5" r="4035"/>
                    <a:stretch/>
                  </pic:blipFill>
                  <pic:spPr bwMode="auto">
                    <a:xfrm>
                      <a:off x="0" y="0"/>
                      <a:ext cx="255223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01EF3">
        <w:rPr>
          <w:rFonts w:cstheme="minorHAnsi"/>
          <w:noProof/>
          <w:sz w:val="24"/>
          <w:szCs w:val="24"/>
        </w:rPr>
        <w:t xml:space="preserve">   </w:t>
      </w:r>
      <w:r w:rsidR="008B75E6" w:rsidRPr="00F01EF3">
        <w:rPr>
          <w:rFonts w:cstheme="minorHAnsi"/>
          <w:noProof/>
          <w:sz w:val="24"/>
          <w:szCs w:val="24"/>
        </w:rPr>
        <w:drawing>
          <wp:inline distT="0" distB="0" distL="0" distR="0" wp14:anchorId="08ED6E9D" wp14:editId="43F7B665">
            <wp:extent cx="2624925" cy="2160000"/>
            <wp:effectExtent l="0" t="0" r="4445" b="0"/>
            <wp:docPr id="1922838873" name="Grafik 2" descr="Ein Bild, das Pflanze, Blume, draußen, A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38873" name="Grafik 2" descr="Ein Bild, das Pflanze, Blume, draußen, Aster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5" r="8014"/>
                    <a:stretch/>
                  </pic:blipFill>
                  <pic:spPr bwMode="auto">
                    <a:xfrm>
                      <a:off x="0" y="0"/>
                      <a:ext cx="2624925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63E09" w14:textId="77777777" w:rsidR="0005312B" w:rsidRPr="00F01EF3" w:rsidRDefault="0005312B" w:rsidP="00671E08">
      <w:pPr>
        <w:rPr>
          <w:rFonts w:cstheme="minorHAnsi"/>
          <w:noProof/>
        </w:rPr>
      </w:pPr>
    </w:p>
    <w:p w14:paraId="4A3A0368" w14:textId="2BD9E46B" w:rsidR="00671E08" w:rsidRPr="00F01EF3" w:rsidRDefault="00671E08" w:rsidP="00671E08">
      <w:pPr>
        <w:rPr>
          <w:rFonts w:cstheme="minorHAnsi"/>
          <w:noProof/>
          <w:sz w:val="24"/>
          <w:szCs w:val="24"/>
        </w:rPr>
      </w:pPr>
      <w:r w:rsidRPr="00F01EF3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F01EF3">
        <w:rPr>
          <w:rFonts w:cstheme="minorHAnsi"/>
          <w:noProof/>
          <w:sz w:val="24"/>
          <w:szCs w:val="24"/>
        </w:rPr>
        <w:t xml:space="preserve"> </w:t>
      </w:r>
      <w:r w:rsidR="00C4137E" w:rsidRPr="00F01EF3">
        <w:rPr>
          <w:rFonts w:cstheme="minorHAnsi"/>
          <w:noProof/>
          <w:sz w:val="24"/>
          <w:szCs w:val="24"/>
        </w:rPr>
        <w:t>Dieser ein- bis zweijährig</w:t>
      </w:r>
      <w:r w:rsidR="00312E4B" w:rsidRPr="00F01EF3">
        <w:rPr>
          <w:rFonts w:cstheme="minorHAnsi"/>
          <w:noProof/>
          <w:sz w:val="24"/>
          <w:szCs w:val="24"/>
        </w:rPr>
        <w:t xml:space="preserve"> Thero-/Hemikryptophyt erreicht eine </w:t>
      </w:r>
      <w:r w:rsidR="00290A29" w:rsidRPr="00F01EF3">
        <w:rPr>
          <w:rFonts w:cstheme="minorHAnsi"/>
          <w:noProof/>
          <w:sz w:val="24"/>
          <w:szCs w:val="24"/>
        </w:rPr>
        <w:t xml:space="preserve">Höhe </w:t>
      </w:r>
      <w:r w:rsidR="00312E4B" w:rsidRPr="00F01EF3">
        <w:rPr>
          <w:rFonts w:cstheme="minorHAnsi"/>
          <w:noProof/>
          <w:sz w:val="24"/>
          <w:szCs w:val="24"/>
        </w:rPr>
        <w:t>von (40)50-</w:t>
      </w:r>
      <w:r w:rsidR="00586AC6" w:rsidRPr="00F01EF3">
        <w:rPr>
          <w:rFonts w:cstheme="minorHAnsi"/>
          <w:noProof/>
          <w:sz w:val="24"/>
          <w:szCs w:val="24"/>
        </w:rPr>
        <w:t>1</w:t>
      </w:r>
      <w:r w:rsidR="00312E4B" w:rsidRPr="00F01EF3">
        <w:rPr>
          <w:rFonts w:cstheme="minorHAnsi"/>
          <w:noProof/>
          <w:sz w:val="24"/>
          <w:szCs w:val="24"/>
        </w:rPr>
        <w:t>00</w:t>
      </w:r>
      <w:r w:rsidR="0005312B" w:rsidRPr="00F01EF3">
        <w:rPr>
          <w:rFonts w:cstheme="minorHAnsi"/>
          <w:noProof/>
          <w:sz w:val="24"/>
          <w:szCs w:val="24"/>
        </w:rPr>
        <w:t xml:space="preserve"> </w:t>
      </w:r>
      <w:r w:rsidR="00312E4B" w:rsidRPr="00F01EF3">
        <w:rPr>
          <w:rFonts w:cstheme="minorHAnsi"/>
          <w:noProof/>
          <w:sz w:val="24"/>
          <w:szCs w:val="24"/>
        </w:rPr>
        <w:t>cm.</w:t>
      </w:r>
    </w:p>
    <w:p w14:paraId="454001DD" w14:textId="666954D0" w:rsidR="00312E4B" w:rsidRPr="00F01EF3" w:rsidRDefault="00AE5045" w:rsidP="00671E08">
      <w:pPr>
        <w:rPr>
          <w:rFonts w:cstheme="minorHAnsi"/>
          <w:noProof/>
          <w:sz w:val="24"/>
          <w:szCs w:val="24"/>
        </w:rPr>
      </w:pPr>
      <w:r w:rsidRPr="00F01EF3">
        <w:rPr>
          <w:rFonts w:cstheme="minorHAnsi"/>
          <w:noProof/>
          <w:sz w:val="24"/>
          <w:szCs w:val="24"/>
        </w:rPr>
        <w:t>Der Stängel ist dicht</w:t>
      </w:r>
      <w:r w:rsidR="000A2D89" w:rsidRPr="00F01EF3">
        <w:rPr>
          <w:rFonts w:cstheme="minorHAnsi"/>
          <w:noProof/>
          <w:sz w:val="24"/>
          <w:szCs w:val="24"/>
        </w:rPr>
        <w:t xml:space="preserve"> abstehend </w:t>
      </w:r>
      <w:r w:rsidR="005F13E2" w:rsidRPr="00F01EF3">
        <w:rPr>
          <w:rFonts w:cstheme="minorHAnsi"/>
          <w:noProof/>
          <w:sz w:val="24"/>
          <w:szCs w:val="24"/>
        </w:rPr>
        <w:t xml:space="preserve">bis anliegend </w:t>
      </w:r>
      <w:r w:rsidR="000A2D89" w:rsidRPr="00F01EF3">
        <w:rPr>
          <w:rFonts w:cstheme="minorHAnsi"/>
          <w:noProof/>
          <w:sz w:val="24"/>
          <w:szCs w:val="24"/>
        </w:rPr>
        <w:t>behaart. Die</w:t>
      </w:r>
      <w:r w:rsidR="00D12074" w:rsidRPr="00F01EF3">
        <w:rPr>
          <w:rFonts w:cstheme="minorHAnsi"/>
          <w:noProof/>
          <w:sz w:val="24"/>
          <w:szCs w:val="24"/>
        </w:rPr>
        <w:t xml:space="preserve"> </w:t>
      </w:r>
      <w:r w:rsidR="007207CA" w:rsidRPr="00F01EF3">
        <w:rPr>
          <w:rFonts w:cstheme="minorHAnsi"/>
          <w:noProof/>
          <w:sz w:val="24"/>
          <w:szCs w:val="24"/>
        </w:rPr>
        <w:t>unteren</w:t>
      </w:r>
      <w:r w:rsidR="000A2D89" w:rsidRPr="00F01EF3">
        <w:rPr>
          <w:rFonts w:cstheme="minorHAnsi"/>
          <w:noProof/>
          <w:sz w:val="24"/>
          <w:szCs w:val="24"/>
        </w:rPr>
        <w:t xml:space="preserve"> Laubblätter sind lanzettlich oder verkehrt eiförmig bis </w:t>
      </w:r>
      <w:r w:rsidR="00B151D6" w:rsidRPr="00F01EF3">
        <w:rPr>
          <w:rFonts w:cstheme="minorHAnsi"/>
          <w:noProof/>
          <w:sz w:val="24"/>
          <w:szCs w:val="24"/>
        </w:rPr>
        <w:t>rundlich</w:t>
      </w:r>
      <w:r w:rsidR="00586AC6" w:rsidRPr="00F01EF3">
        <w:rPr>
          <w:rFonts w:cstheme="minorHAnsi"/>
          <w:noProof/>
          <w:sz w:val="24"/>
          <w:szCs w:val="24"/>
        </w:rPr>
        <w:t>. Sie verschmälern sich zum Stiel hin und sind stumpf gezähnt. Die</w:t>
      </w:r>
      <w:r w:rsidR="00D12074" w:rsidRPr="00F01EF3">
        <w:rPr>
          <w:rFonts w:cstheme="minorHAnsi"/>
          <w:noProof/>
          <w:sz w:val="24"/>
          <w:szCs w:val="24"/>
        </w:rPr>
        <w:t xml:space="preserve"> </w:t>
      </w:r>
      <w:r w:rsidR="007207CA" w:rsidRPr="00F01EF3">
        <w:rPr>
          <w:rFonts w:cstheme="minorHAnsi"/>
          <w:noProof/>
          <w:sz w:val="24"/>
          <w:szCs w:val="24"/>
        </w:rPr>
        <w:t>oberen</w:t>
      </w:r>
      <w:r w:rsidR="00D12074" w:rsidRPr="00F01EF3">
        <w:rPr>
          <w:rFonts w:cstheme="minorHAnsi"/>
          <w:noProof/>
          <w:sz w:val="24"/>
          <w:szCs w:val="24"/>
        </w:rPr>
        <w:t xml:space="preserve"> Laubblätter sind </w:t>
      </w:r>
      <w:r w:rsidR="007207CA" w:rsidRPr="00F01EF3">
        <w:rPr>
          <w:rFonts w:cstheme="minorHAnsi"/>
          <w:noProof/>
          <w:sz w:val="24"/>
          <w:szCs w:val="24"/>
        </w:rPr>
        <w:t>lanzettlich bis lineal, sitzend oder kurz gestielt. Alle Blätter sind beiderseits behaart.</w:t>
      </w:r>
    </w:p>
    <w:p w14:paraId="5ED0D4B6" w14:textId="4420BBA4" w:rsidR="008B75E6" w:rsidRPr="00F01EF3" w:rsidRDefault="00731C03" w:rsidP="00671E08">
      <w:pPr>
        <w:rPr>
          <w:rFonts w:cstheme="minorHAnsi"/>
          <w:noProof/>
          <w:sz w:val="24"/>
          <w:szCs w:val="24"/>
        </w:rPr>
      </w:pPr>
      <w:r w:rsidRPr="00F01EF3">
        <w:rPr>
          <w:rFonts w:cstheme="minorHAnsi"/>
          <w:noProof/>
          <w:sz w:val="24"/>
          <w:szCs w:val="24"/>
        </w:rPr>
        <w:t>D</w:t>
      </w:r>
      <w:r w:rsidR="00276483" w:rsidRPr="00F01EF3">
        <w:rPr>
          <w:rFonts w:cstheme="minorHAnsi"/>
          <w:noProof/>
          <w:sz w:val="24"/>
          <w:szCs w:val="24"/>
        </w:rPr>
        <w:t xml:space="preserve">ie Blüten sind </w:t>
      </w:r>
      <w:r w:rsidR="00941EB5" w:rsidRPr="00F01EF3">
        <w:rPr>
          <w:rFonts w:cstheme="minorHAnsi"/>
          <w:noProof/>
          <w:sz w:val="24"/>
          <w:szCs w:val="24"/>
        </w:rPr>
        <w:t>zu einer doldigen Rispe angeord</w:t>
      </w:r>
      <w:r w:rsidR="003D48BA" w:rsidRPr="00F01EF3">
        <w:rPr>
          <w:rFonts w:cstheme="minorHAnsi"/>
          <w:noProof/>
          <w:sz w:val="24"/>
          <w:szCs w:val="24"/>
        </w:rPr>
        <w:t>n</w:t>
      </w:r>
      <w:r w:rsidR="00941EB5" w:rsidRPr="00F01EF3">
        <w:rPr>
          <w:rFonts w:cstheme="minorHAnsi"/>
          <w:noProof/>
          <w:sz w:val="24"/>
          <w:szCs w:val="24"/>
        </w:rPr>
        <w:t xml:space="preserve">et und bestehen aus gelben Röhren und weißen </w:t>
      </w:r>
      <w:r w:rsidR="00420835" w:rsidRPr="00F01EF3">
        <w:rPr>
          <w:rFonts w:cstheme="minorHAnsi"/>
          <w:noProof/>
          <w:sz w:val="24"/>
          <w:szCs w:val="24"/>
        </w:rPr>
        <w:t xml:space="preserve">bis blassblauen </w:t>
      </w:r>
      <w:r w:rsidR="00941EB5" w:rsidRPr="00F01EF3">
        <w:rPr>
          <w:rFonts w:cstheme="minorHAnsi"/>
          <w:noProof/>
          <w:sz w:val="24"/>
          <w:szCs w:val="24"/>
        </w:rPr>
        <w:t>Zungenblüten.</w:t>
      </w:r>
    </w:p>
    <w:p w14:paraId="4DE213D4" w14:textId="36CB4A49" w:rsidR="00671E08" w:rsidRPr="00F01EF3" w:rsidRDefault="00671E08" w:rsidP="00671E08">
      <w:pPr>
        <w:rPr>
          <w:rFonts w:cstheme="minorHAnsi"/>
          <w:noProof/>
          <w:sz w:val="24"/>
          <w:szCs w:val="24"/>
        </w:rPr>
      </w:pPr>
      <w:r w:rsidRPr="00F01EF3">
        <w:rPr>
          <w:rFonts w:cstheme="minorHAnsi"/>
          <w:b/>
          <w:bCs/>
          <w:noProof/>
          <w:sz w:val="24"/>
          <w:szCs w:val="24"/>
        </w:rPr>
        <w:t>Ökologie:</w:t>
      </w:r>
      <w:r w:rsidRPr="00F01EF3">
        <w:rPr>
          <w:rFonts w:cstheme="minorHAnsi"/>
          <w:noProof/>
          <w:sz w:val="24"/>
          <w:szCs w:val="24"/>
        </w:rPr>
        <w:t xml:space="preserve"> </w:t>
      </w:r>
      <w:r w:rsidR="00847383" w:rsidRPr="00F01EF3">
        <w:rPr>
          <w:rFonts w:cstheme="minorHAnsi"/>
          <w:i/>
          <w:iCs/>
          <w:noProof/>
          <w:sz w:val="24"/>
          <w:szCs w:val="24"/>
        </w:rPr>
        <w:t xml:space="preserve">Erigeron annuus </w:t>
      </w:r>
      <w:r w:rsidR="0005312B" w:rsidRPr="00F01EF3">
        <w:rPr>
          <w:rFonts w:cstheme="minorHAnsi"/>
          <w:noProof/>
          <w:sz w:val="24"/>
          <w:szCs w:val="24"/>
        </w:rPr>
        <w:t>s.l.</w:t>
      </w:r>
      <w:r w:rsidR="00847383" w:rsidRPr="00F01EF3">
        <w:rPr>
          <w:rFonts w:cstheme="minorHAnsi"/>
          <w:i/>
          <w:iCs/>
          <w:noProof/>
          <w:sz w:val="24"/>
          <w:szCs w:val="24"/>
        </w:rPr>
        <w:t xml:space="preserve"> </w:t>
      </w:r>
      <w:r w:rsidR="00A968D0" w:rsidRPr="00F01EF3">
        <w:rPr>
          <w:rFonts w:cstheme="minorHAnsi"/>
          <w:noProof/>
          <w:sz w:val="24"/>
          <w:szCs w:val="24"/>
        </w:rPr>
        <w:t>ist eine bis zu 1</w:t>
      </w:r>
      <w:r w:rsidR="003D48BA" w:rsidRPr="00F01EF3">
        <w:rPr>
          <w:rFonts w:cstheme="minorHAnsi"/>
          <w:noProof/>
          <w:sz w:val="24"/>
          <w:szCs w:val="24"/>
        </w:rPr>
        <w:t xml:space="preserve"> </w:t>
      </w:r>
      <w:r w:rsidR="00A968D0" w:rsidRPr="00F01EF3">
        <w:rPr>
          <w:rFonts w:cstheme="minorHAnsi"/>
          <w:noProof/>
          <w:sz w:val="24"/>
          <w:szCs w:val="24"/>
        </w:rPr>
        <w:t>m tiefwurzelnde Pionierpflanze, die in Auwäldern, in feuchten bis trockenen Wiesen</w:t>
      </w:r>
      <w:r w:rsidR="00F9182C" w:rsidRPr="00F01EF3">
        <w:rPr>
          <w:rFonts w:cstheme="minorHAnsi"/>
          <w:noProof/>
          <w:sz w:val="24"/>
          <w:szCs w:val="24"/>
        </w:rPr>
        <w:t xml:space="preserve"> und auf Ruderalfluren, vorkommt. Ihre Unterarten sind derzeit noch unzureichend erforscht. </w:t>
      </w:r>
      <w:r w:rsidR="002D1D1C" w:rsidRPr="00F01EF3">
        <w:rPr>
          <w:rFonts w:cstheme="minorHAnsi"/>
          <w:noProof/>
          <w:sz w:val="24"/>
          <w:szCs w:val="24"/>
        </w:rPr>
        <w:t xml:space="preserve"> </w:t>
      </w:r>
    </w:p>
    <w:p w14:paraId="2AFC381F" w14:textId="46D0F02D" w:rsidR="007D28AE" w:rsidRPr="007D28AE" w:rsidRDefault="007D28AE">
      <w:pPr>
        <w:rPr>
          <w:rFonts w:cstheme="minorHAnsi"/>
          <w:noProof/>
          <w:sz w:val="24"/>
          <w:szCs w:val="24"/>
        </w:rPr>
      </w:pPr>
      <w:r w:rsidRPr="00F01EF3">
        <w:rPr>
          <w:rFonts w:cstheme="minorHAnsi"/>
          <w:b/>
          <w:bCs/>
          <w:noProof/>
          <w:sz w:val="24"/>
          <w:szCs w:val="24"/>
        </w:rPr>
        <w:t>Blütezeit:</w:t>
      </w:r>
      <w:r w:rsidRPr="00F01EF3">
        <w:rPr>
          <w:rFonts w:cstheme="minorHAnsi"/>
          <w:noProof/>
          <w:sz w:val="24"/>
          <w:szCs w:val="24"/>
        </w:rPr>
        <w:t xml:space="preserve"> Juni bis November</w:t>
      </w:r>
    </w:p>
    <w:p w14:paraId="538EAC4C" w14:textId="221216AA" w:rsidR="002127CD" w:rsidRPr="00F01EF3" w:rsidRDefault="00847383">
      <w:pPr>
        <w:rPr>
          <w:rFonts w:cstheme="minorHAnsi"/>
          <w:sz w:val="24"/>
          <w:szCs w:val="24"/>
        </w:rPr>
      </w:pPr>
      <w:r w:rsidRPr="00F01EF3">
        <w:rPr>
          <w:rFonts w:cstheme="minorHAnsi"/>
          <w:b/>
          <w:bCs/>
          <w:sz w:val="24"/>
          <w:szCs w:val="24"/>
        </w:rPr>
        <w:t xml:space="preserve">Höhenstufe: </w:t>
      </w:r>
      <w:r w:rsidRPr="00F01EF3">
        <w:rPr>
          <w:rFonts w:cstheme="minorHAnsi"/>
          <w:sz w:val="24"/>
          <w:szCs w:val="24"/>
        </w:rPr>
        <w:t xml:space="preserve">collin bis montan </w:t>
      </w:r>
    </w:p>
    <w:p w14:paraId="0D47D3CA" w14:textId="7CEEAF90" w:rsidR="00F01EF3" w:rsidRPr="00F01EF3" w:rsidRDefault="00F01EF3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F01EF3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F01EF3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F01EF3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i</w:t>
      </w:r>
    </w:p>
    <w:p w14:paraId="179498BE" w14:textId="566D66CE" w:rsidR="00F01EF3" w:rsidRPr="00F01EF3" w:rsidRDefault="00F01EF3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F01EF3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F01EF3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F01EF3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F01EF3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e</w:t>
      </w:r>
    </w:p>
    <w:p w14:paraId="3AB478E1" w14:textId="7D68FDD6" w:rsidR="00F01EF3" w:rsidRPr="00F21DE8" w:rsidRDefault="00F01EF3" w:rsidP="00F01EF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</w:t>
      </w:r>
    </w:p>
    <w:tbl>
      <w:tblPr>
        <w:tblStyle w:val="Tabellenraster"/>
        <w:tblpPr w:leftFromText="141" w:rightFromText="141" w:vertAnchor="text" w:horzAnchor="page" w:tblpX="3025" w:tblpY="16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C433A4" w:rsidRPr="00F01EF3" w14:paraId="0BE8DCAC" w14:textId="77777777" w:rsidTr="000531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3981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AA76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24DF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431D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7E5D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6C8F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7B53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C433A4" w:rsidRPr="00F01EF3" w14:paraId="1F2E9F7F" w14:textId="77777777" w:rsidTr="000531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66AD4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D37A3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C1BFD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AA675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09F69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04EDF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EAE" w14:textId="77777777" w:rsidR="00C433A4" w:rsidRPr="00F01EF3" w:rsidRDefault="00C433A4" w:rsidP="0005312B">
            <w:pPr>
              <w:jc w:val="center"/>
              <w:rPr>
                <w:rFonts w:cstheme="minorHAnsi"/>
                <w:sz w:val="24"/>
                <w:szCs w:val="28"/>
              </w:rPr>
            </w:pPr>
            <w:r w:rsidRPr="00F01EF3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77ECFD6D" w14:textId="77777777" w:rsidR="00C433A4" w:rsidRPr="00F01EF3" w:rsidRDefault="00C433A4">
      <w:pPr>
        <w:rPr>
          <w:rFonts w:cstheme="minorHAnsi"/>
          <w:sz w:val="24"/>
          <w:szCs w:val="24"/>
        </w:rPr>
      </w:pPr>
    </w:p>
    <w:p w14:paraId="6C8D2E78" w14:textId="77777777" w:rsidR="00C433A4" w:rsidRPr="00F01EF3" w:rsidRDefault="00C433A4">
      <w:pPr>
        <w:rPr>
          <w:rFonts w:cstheme="minorHAnsi"/>
        </w:rPr>
      </w:pPr>
      <w:r w:rsidRPr="00F01EF3">
        <w:rPr>
          <w:rFonts w:cstheme="minorHAnsi"/>
          <w:b/>
          <w:bCs/>
          <w:sz w:val="24"/>
          <w:szCs w:val="24"/>
        </w:rPr>
        <w:t xml:space="preserve">Zeigerwerte: </w:t>
      </w:r>
    </w:p>
    <w:p w14:paraId="33B1802F" w14:textId="7796BAE7" w:rsidR="00C433A4" w:rsidRPr="00F01EF3" w:rsidRDefault="00C433A4">
      <w:pPr>
        <w:rPr>
          <w:rFonts w:cstheme="minorHAnsi"/>
        </w:rPr>
      </w:pPr>
    </w:p>
    <w:sectPr w:rsidR="00C433A4" w:rsidRPr="00F01EF3" w:rsidSect="008C2EBE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BC30" w14:textId="77777777" w:rsidR="008C2EBE" w:rsidRDefault="008C2EBE" w:rsidP="00671E08">
      <w:pPr>
        <w:spacing w:after="0" w:line="240" w:lineRule="auto"/>
      </w:pPr>
      <w:r>
        <w:separator/>
      </w:r>
    </w:p>
  </w:endnote>
  <w:endnote w:type="continuationSeparator" w:id="0">
    <w:p w14:paraId="7031FAAE" w14:textId="77777777" w:rsidR="008C2EBE" w:rsidRDefault="008C2EBE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6F71" w14:textId="77777777" w:rsidR="00F01EF3" w:rsidRPr="009F1BF4" w:rsidRDefault="00F01EF3" w:rsidP="00F01EF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D132721" w14:textId="77777777" w:rsidR="00F01EF3" w:rsidRPr="009F1BF4" w:rsidRDefault="00F01EF3" w:rsidP="00F01EF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EE7B167" w14:textId="7DE5012F" w:rsidR="00F01EF3" w:rsidRDefault="00F01EF3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4FDD" w14:textId="77777777" w:rsidR="008C2EBE" w:rsidRDefault="008C2EBE" w:rsidP="00671E08">
      <w:pPr>
        <w:spacing w:after="0" w:line="240" w:lineRule="auto"/>
      </w:pPr>
      <w:r>
        <w:separator/>
      </w:r>
    </w:p>
  </w:footnote>
  <w:footnote w:type="continuationSeparator" w:id="0">
    <w:p w14:paraId="52A21BEA" w14:textId="77777777" w:rsidR="008C2EBE" w:rsidRDefault="008C2EBE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90FD6C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5312B"/>
    <w:rsid w:val="000A2D89"/>
    <w:rsid w:val="002127CD"/>
    <w:rsid w:val="002459D8"/>
    <w:rsid w:val="00276483"/>
    <w:rsid w:val="00277DC0"/>
    <w:rsid w:val="00290A29"/>
    <w:rsid w:val="002D1D1C"/>
    <w:rsid w:val="00312E4B"/>
    <w:rsid w:val="0031675B"/>
    <w:rsid w:val="00323AF6"/>
    <w:rsid w:val="003D48BA"/>
    <w:rsid w:val="00420835"/>
    <w:rsid w:val="005456CD"/>
    <w:rsid w:val="005837D2"/>
    <w:rsid w:val="00586AC6"/>
    <w:rsid w:val="005F13E2"/>
    <w:rsid w:val="00671E08"/>
    <w:rsid w:val="007207CA"/>
    <w:rsid w:val="00731C03"/>
    <w:rsid w:val="0079403E"/>
    <w:rsid w:val="007B3EE2"/>
    <w:rsid w:val="007D28AE"/>
    <w:rsid w:val="00807A9A"/>
    <w:rsid w:val="00824D1C"/>
    <w:rsid w:val="008311FB"/>
    <w:rsid w:val="00847383"/>
    <w:rsid w:val="008B75E6"/>
    <w:rsid w:val="008C2EBE"/>
    <w:rsid w:val="00926895"/>
    <w:rsid w:val="00941EB5"/>
    <w:rsid w:val="009B61E8"/>
    <w:rsid w:val="00A4714D"/>
    <w:rsid w:val="00A968D0"/>
    <w:rsid w:val="00AC64DD"/>
    <w:rsid w:val="00AE5045"/>
    <w:rsid w:val="00AE565E"/>
    <w:rsid w:val="00B151D6"/>
    <w:rsid w:val="00B5754B"/>
    <w:rsid w:val="00B61D4B"/>
    <w:rsid w:val="00BF7643"/>
    <w:rsid w:val="00C365AF"/>
    <w:rsid w:val="00C4137E"/>
    <w:rsid w:val="00C433A4"/>
    <w:rsid w:val="00D12074"/>
    <w:rsid w:val="00DE2C63"/>
    <w:rsid w:val="00E14823"/>
    <w:rsid w:val="00E70D42"/>
    <w:rsid w:val="00EC1CA4"/>
    <w:rsid w:val="00F01EF3"/>
    <w:rsid w:val="00F9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433A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37</cp:revision>
  <dcterms:created xsi:type="dcterms:W3CDTF">2023-08-10T08:01:00Z</dcterms:created>
  <dcterms:modified xsi:type="dcterms:W3CDTF">2024-10-23T13:24:00Z</dcterms:modified>
</cp:coreProperties>
</file>