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5067FA5" w:rsidR="00671E08" w:rsidRPr="00486562" w:rsidRDefault="00CD1302" w:rsidP="00671E08">
      <w:pPr>
        <w:rPr>
          <w:rFonts w:cstheme="minorHAnsi"/>
          <w:b/>
          <w:bCs/>
          <w:noProof/>
          <w:sz w:val="32"/>
          <w:szCs w:val="32"/>
        </w:rPr>
      </w:pPr>
      <w:r w:rsidRPr="00486562">
        <w:rPr>
          <w:rFonts w:cstheme="minorHAnsi"/>
          <w:b/>
          <w:bCs/>
          <w:i/>
          <w:iCs/>
          <w:noProof/>
          <w:sz w:val="32"/>
          <w:szCs w:val="32"/>
        </w:rPr>
        <w:t>Phleum pratense</w:t>
      </w:r>
      <w:r w:rsidR="00671E08" w:rsidRPr="00486562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8656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486562">
        <w:rPr>
          <w:rFonts w:cstheme="minorHAnsi"/>
          <w:b/>
          <w:bCs/>
          <w:noProof/>
          <w:sz w:val="32"/>
          <w:szCs w:val="32"/>
        </w:rPr>
        <w:t>Wiesen-Lieschgras (</w:t>
      </w:r>
      <w:r w:rsidR="003E23DE" w:rsidRPr="00486562">
        <w:rPr>
          <w:rFonts w:cstheme="minorHAnsi"/>
          <w:b/>
          <w:bCs/>
          <w:noProof/>
          <w:sz w:val="32"/>
          <w:szCs w:val="32"/>
        </w:rPr>
        <w:t>Timothee)</w:t>
      </w:r>
    </w:p>
    <w:p w14:paraId="5C73A51D" w14:textId="758EF2B6" w:rsidR="00671E08" w:rsidRPr="00486562" w:rsidRDefault="007B3EE2" w:rsidP="003460D1">
      <w:pPr>
        <w:tabs>
          <w:tab w:val="right" w:pos="9072"/>
        </w:tabs>
        <w:rPr>
          <w:rFonts w:cstheme="minorHAnsi"/>
          <w:noProof/>
          <w:sz w:val="24"/>
          <w:szCs w:val="24"/>
        </w:rPr>
      </w:pPr>
      <w:r w:rsidRPr="00486562">
        <w:rPr>
          <w:rFonts w:cstheme="minorHAnsi"/>
          <w:noProof/>
          <w:sz w:val="24"/>
          <w:szCs w:val="24"/>
        </w:rPr>
        <w:t>[</w:t>
      </w:r>
      <w:r w:rsidR="003E23DE" w:rsidRPr="00486562">
        <w:rPr>
          <w:rFonts w:cstheme="minorHAnsi"/>
          <w:noProof/>
          <w:sz w:val="24"/>
          <w:szCs w:val="24"/>
        </w:rPr>
        <w:t>Poaceae, Süßgräser</w:t>
      </w:r>
      <w:r w:rsidR="00671E08" w:rsidRPr="00486562">
        <w:rPr>
          <w:rFonts w:cstheme="minorHAnsi"/>
          <w:noProof/>
          <w:sz w:val="24"/>
          <w:szCs w:val="24"/>
        </w:rPr>
        <w:t>]</w:t>
      </w:r>
      <w:r w:rsidR="003460D1" w:rsidRPr="00486562">
        <w:rPr>
          <w:rFonts w:cstheme="minorHAnsi"/>
          <w:noProof/>
          <w:sz w:val="24"/>
          <w:szCs w:val="24"/>
        </w:rPr>
        <w:tab/>
      </w:r>
    </w:p>
    <w:p w14:paraId="0413B947" w14:textId="77777777" w:rsidR="00671E08" w:rsidRPr="00486562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34D5CACB" w:rsidR="00671E08" w:rsidRPr="00486562" w:rsidRDefault="00437833" w:rsidP="00C76A98">
      <w:pPr>
        <w:jc w:val="center"/>
        <w:rPr>
          <w:rFonts w:cstheme="minorHAnsi"/>
          <w:noProof/>
        </w:rPr>
      </w:pPr>
      <w:r w:rsidRPr="00486562">
        <w:rPr>
          <w:rFonts w:cstheme="minorHAnsi"/>
          <w:noProof/>
        </w:rPr>
        <w:drawing>
          <wp:inline distT="0" distB="0" distL="0" distR="0" wp14:anchorId="61263B04" wp14:editId="392BB697">
            <wp:extent cx="1389083" cy="2340000"/>
            <wp:effectExtent l="0" t="0" r="1905" b="3175"/>
            <wp:docPr id="565738162" name="Grafik 2" descr="Ein Bild, das Pflanze, Gras, draußen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38162" name="Grafik 2" descr="Ein Bild, das Pflanze, Gras, draußen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2" t="4331" r="33373"/>
                    <a:stretch/>
                  </pic:blipFill>
                  <pic:spPr bwMode="auto">
                    <a:xfrm>
                      <a:off x="0" y="0"/>
                      <a:ext cx="1389083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6A98" w:rsidRPr="00486562">
        <w:rPr>
          <w:rFonts w:cstheme="minorHAnsi"/>
          <w:noProof/>
        </w:rPr>
        <w:t xml:space="preserve">   </w:t>
      </w:r>
      <w:r w:rsidRPr="00486562">
        <w:rPr>
          <w:rFonts w:cstheme="minorHAnsi"/>
          <w:noProof/>
        </w:rPr>
        <w:drawing>
          <wp:inline distT="0" distB="0" distL="0" distR="0" wp14:anchorId="12B2E957" wp14:editId="07185D77">
            <wp:extent cx="2921289" cy="2340000"/>
            <wp:effectExtent l="0" t="0" r="0" b="3175"/>
            <wp:docPr id="99345447" name="Grafik 1" descr="Ein Bild, das Pflanze, Gras, draußen, Schilfro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5447" name="Grafik 1" descr="Ein Bild, das Pflanze, Gras, draußen, Schilfroh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3" t="8455" r="20274" b="8412"/>
                    <a:stretch/>
                  </pic:blipFill>
                  <pic:spPr bwMode="auto">
                    <a:xfrm>
                      <a:off x="0" y="0"/>
                      <a:ext cx="292128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0A9949" w14:textId="77777777" w:rsidR="00D2716B" w:rsidRPr="00486562" w:rsidRDefault="00D2716B" w:rsidP="00671E08">
      <w:pPr>
        <w:rPr>
          <w:rFonts w:cstheme="minorHAnsi"/>
          <w:noProof/>
        </w:rPr>
      </w:pPr>
    </w:p>
    <w:p w14:paraId="19656279" w14:textId="0C2025C7" w:rsidR="003A6E49" w:rsidRPr="00486562" w:rsidRDefault="00671E08" w:rsidP="00486562">
      <w:pPr>
        <w:spacing w:after="0"/>
        <w:rPr>
          <w:rFonts w:cstheme="minorHAnsi"/>
          <w:noProof/>
          <w:sz w:val="24"/>
          <w:szCs w:val="24"/>
        </w:rPr>
      </w:pPr>
      <w:r w:rsidRPr="00486562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86562">
        <w:rPr>
          <w:rFonts w:cstheme="minorHAnsi"/>
          <w:noProof/>
          <w:sz w:val="24"/>
          <w:szCs w:val="24"/>
        </w:rPr>
        <w:t xml:space="preserve"> </w:t>
      </w:r>
      <w:r w:rsidR="003A6E49" w:rsidRPr="00486562">
        <w:rPr>
          <w:rFonts w:cstheme="minorHAnsi"/>
          <w:noProof/>
          <w:sz w:val="24"/>
          <w:szCs w:val="24"/>
        </w:rPr>
        <w:t xml:space="preserve">Dieses </w:t>
      </w:r>
      <w:r w:rsidR="00000BA3" w:rsidRPr="00486562">
        <w:rPr>
          <w:rFonts w:cstheme="minorHAnsi"/>
          <w:noProof/>
          <w:sz w:val="24"/>
          <w:szCs w:val="24"/>
        </w:rPr>
        <w:t>ausdauernde</w:t>
      </w:r>
      <w:r w:rsidR="003A6E49" w:rsidRPr="00486562">
        <w:rPr>
          <w:rFonts w:cstheme="minorHAnsi"/>
          <w:noProof/>
          <w:sz w:val="24"/>
          <w:szCs w:val="24"/>
        </w:rPr>
        <w:t xml:space="preserve">, </w:t>
      </w:r>
      <w:r w:rsidR="00000BA3" w:rsidRPr="00486562">
        <w:rPr>
          <w:rFonts w:cstheme="minorHAnsi"/>
          <w:noProof/>
          <w:sz w:val="24"/>
          <w:szCs w:val="24"/>
        </w:rPr>
        <w:t>blaugrünes Horstgras</w:t>
      </w:r>
      <w:r w:rsidR="003A6E49" w:rsidRPr="00486562">
        <w:rPr>
          <w:rFonts w:cstheme="minorHAnsi"/>
          <w:noProof/>
          <w:sz w:val="24"/>
          <w:szCs w:val="24"/>
        </w:rPr>
        <w:t xml:space="preserve"> erreicht eine Höhe von 40-100</w:t>
      </w:r>
      <w:r w:rsidR="001D4BDD" w:rsidRPr="00486562">
        <w:rPr>
          <w:rFonts w:cstheme="minorHAnsi"/>
          <w:noProof/>
          <w:sz w:val="24"/>
          <w:szCs w:val="24"/>
        </w:rPr>
        <w:t xml:space="preserve"> </w:t>
      </w:r>
      <w:r w:rsidR="003A6E49" w:rsidRPr="00486562">
        <w:rPr>
          <w:rFonts w:cstheme="minorHAnsi"/>
          <w:noProof/>
          <w:sz w:val="24"/>
          <w:szCs w:val="24"/>
        </w:rPr>
        <w:t>cm</w:t>
      </w:r>
      <w:r w:rsidR="00CC3588" w:rsidRPr="00486562">
        <w:rPr>
          <w:rFonts w:cstheme="minorHAnsi"/>
          <w:noProof/>
          <w:sz w:val="24"/>
          <w:szCs w:val="24"/>
        </w:rPr>
        <w:t xml:space="preserve"> und bildet nur selten Ausläufer.</w:t>
      </w:r>
    </w:p>
    <w:p w14:paraId="0B076D37" w14:textId="6DDCE93D" w:rsidR="00112E1E" w:rsidRPr="00486562" w:rsidRDefault="00515DFF" w:rsidP="00486562">
      <w:pPr>
        <w:spacing w:after="0"/>
        <w:rPr>
          <w:rFonts w:cstheme="minorHAnsi"/>
          <w:noProof/>
          <w:sz w:val="24"/>
          <w:szCs w:val="24"/>
        </w:rPr>
      </w:pPr>
      <w:r w:rsidRPr="00486562">
        <w:rPr>
          <w:rFonts w:cstheme="minorHAnsi"/>
          <w:noProof/>
          <w:sz w:val="24"/>
          <w:szCs w:val="24"/>
        </w:rPr>
        <w:t>Am Grund ist der Stängel oft knotig verdickt. Die Blätter sind beiderseits sehr rau</w:t>
      </w:r>
      <w:r w:rsidR="00E568A2" w:rsidRPr="00486562">
        <w:rPr>
          <w:rFonts w:cstheme="minorHAnsi"/>
          <w:noProof/>
          <w:sz w:val="24"/>
          <w:szCs w:val="24"/>
        </w:rPr>
        <w:t xml:space="preserve"> und am Rand gewellt</w:t>
      </w:r>
      <w:r w:rsidR="00525FDF" w:rsidRPr="00486562">
        <w:rPr>
          <w:rFonts w:cstheme="minorHAnsi"/>
          <w:noProof/>
          <w:sz w:val="24"/>
          <w:szCs w:val="24"/>
        </w:rPr>
        <w:t>. D</w:t>
      </w:r>
      <w:r w:rsidR="00C81EEE" w:rsidRPr="00486562">
        <w:rPr>
          <w:rFonts w:cstheme="minorHAnsi"/>
          <w:noProof/>
          <w:sz w:val="24"/>
          <w:szCs w:val="24"/>
        </w:rPr>
        <w:t>ie</w:t>
      </w:r>
      <w:r w:rsidR="00004C3B" w:rsidRPr="00486562">
        <w:rPr>
          <w:rFonts w:cstheme="minorHAnsi"/>
          <w:noProof/>
          <w:sz w:val="24"/>
          <w:szCs w:val="24"/>
        </w:rPr>
        <w:t xml:space="preserve"> Blatthäutchen </w:t>
      </w:r>
      <w:r w:rsidR="00C81EEE" w:rsidRPr="00486562">
        <w:rPr>
          <w:rFonts w:cstheme="minorHAnsi"/>
          <w:noProof/>
          <w:sz w:val="24"/>
          <w:szCs w:val="24"/>
        </w:rPr>
        <w:t>sind</w:t>
      </w:r>
      <w:r w:rsidR="00E568A2" w:rsidRPr="00486562">
        <w:rPr>
          <w:rFonts w:cstheme="minorHAnsi"/>
          <w:noProof/>
          <w:sz w:val="24"/>
          <w:szCs w:val="24"/>
        </w:rPr>
        <w:t xml:space="preserve"> ca 2-5</w:t>
      </w:r>
      <w:r w:rsidR="001D4BDD" w:rsidRPr="00486562">
        <w:rPr>
          <w:rFonts w:cstheme="minorHAnsi"/>
          <w:noProof/>
          <w:sz w:val="24"/>
          <w:szCs w:val="24"/>
        </w:rPr>
        <w:t xml:space="preserve"> </w:t>
      </w:r>
      <w:r w:rsidR="00E568A2" w:rsidRPr="00486562">
        <w:rPr>
          <w:rFonts w:cstheme="minorHAnsi"/>
          <w:noProof/>
          <w:sz w:val="24"/>
          <w:szCs w:val="24"/>
        </w:rPr>
        <w:t>mm lang, kahl und zugespitzt.</w:t>
      </w:r>
      <w:r w:rsidR="003C2A0F" w:rsidRPr="00486562">
        <w:rPr>
          <w:rFonts w:cstheme="minorHAnsi"/>
          <w:noProof/>
          <w:sz w:val="24"/>
          <w:szCs w:val="24"/>
        </w:rPr>
        <w:t xml:space="preserve"> Die oberste</w:t>
      </w:r>
      <w:r w:rsidR="0016426F" w:rsidRPr="00486562">
        <w:rPr>
          <w:rFonts w:cstheme="minorHAnsi"/>
          <w:noProof/>
          <w:sz w:val="24"/>
          <w:szCs w:val="24"/>
        </w:rPr>
        <w:t xml:space="preserve">n Blattscheiden sind </w:t>
      </w:r>
      <w:r w:rsidR="003C2A0F" w:rsidRPr="00486562">
        <w:rPr>
          <w:rFonts w:cstheme="minorHAnsi"/>
          <w:noProof/>
          <w:sz w:val="24"/>
          <w:szCs w:val="24"/>
        </w:rPr>
        <w:t>nicht bis kaum aufgeblasen und ca. 8</w:t>
      </w:r>
      <w:r w:rsidR="00176EBF" w:rsidRPr="00486562">
        <w:rPr>
          <w:rFonts w:cstheme="minorHAnsi"/>
          <w:noProof/>
          <w:sz w:val="24"/>
          <w:szCs w:val="24"/>
        </w:rPr>
        <w:t xml:space="preserve"> </w:t>
      </w:r>
      <w:r w:rsidR="003C2A0F" w:rsidRPr="00486562">
        <w:rPr>
          <w:rFonts w:cstheme="minorHAnsi"/>
          <w:noProof/>
          <w:sz w:val="24"/>
          <w:szCs w:val="24"/>
        </w:rPr>
        <w:t>mm breit.</w:t>
      </w:r>
    </w:p>
    <w:p w14:paraId="34A7717C" w14:textId="7B256A78" w:rsidR="007C407D" w:rsidRPr="00486562" w:rsidRDefault="008E1759" w:rsidP="00486562">
      <w:pPr>
        <w:spacing w:after="0"/>
        <w:rPr>
          <w:rFonts w:cstheme="minorHAnsi"/>
          <w:noProof/>
          <w:sz w:val="24"/>
          <w:szCs w:val="24"/>
        </w:rPr>
      </w:pPr>
      <w:r w:rsidRPr="00486562">
        <w:rPr>
          <w:rFonts w:cstheme="minorHAnsi"/>
          <w:noProof/>
          <w:sz w:val="24"/>
          <w:szCs w:val="24"/>
        </w:rPr>
        <w:t xml:space="preserve">Der rispige Blütenstand ist weich und </w:t>
      </w:r>
      <w:r w:rsidR="005950C6" w:rsidRPr="00486562">
        <w:rPr>
          <w:rFonts w:cstheme="minorHAnsi"/>
          <w:noProof/>
          <w:sz w:val="24"/>
          <w:szCs w:val="24"/>
        </w:rPr>
        <w:t>6-11(30)</w:t>
      </w:r>
      <w:r w:rsidR="001D4BDD" w:rsidRPr="00486562">
        <w:rPr>
          <w:rFonts w:cstheme="minorHAnsi"/>
          <w:noProof/>
          <w:sz w:val="24"/>
          <w:szCs w:val="24"/>
        </w:rPr>
        <w:t xml:space="preserve"> </w:t>
      </w:r>
      <w:r w:rsidR="005950C6" w:rsidRPr="00486562">
        <w:rPr>
          <w:rFonts w:cstheme="minorHAnsi"/>
          <w:noProof/>
          <w:sz w:val="24"/>
          <w:szCs w:val="24"/>
        </w:rPr>
        <w:t>cm lang</w:t>
      </w:r>
      <w:r w:rsidR="0016426F" w:rsidRPr="00486562">
        <w:rPr>
          <w:rFonts w:cstheme="minorHAnsi"/>
          <w:noProof/>
          <w:sz w:val="24"/>
          <w:szCs w:val="24"/>
        </w:rPr>
        <w:t>, hier sind die Rispenäste mit der Hauptachse verwachsen</w:t>
      </w:r>
      <w:r w:rsidR="00D24808" w:rsidRPr="00486562">
        <w:rPr>
          <w:rFonts w:cstheme="minorHAnsi"/>
          <w:noProof/>
          <w:sz w:val="24"/>
          <w:szCs w:val="24"/>
        </w:rPr>
        <w:t>,</w:t>
      </w:r>
      <w:r w:rsidR="0016426F" w:rsidRPr="00486562">
        <w:rPr>
          <w:rFonts w:cstheme="minorHAnsi"/>
          <w:noProof/>
          <w:sz w:val="24"/>
          <w:szCs w:val="24"/>
        </w:rPr>
        <w:t xml:space="preserve"> deswegen wirkt es als würden die Ährchen </w:t>
      </w:r>
      <w:r w:rsidR="00161961" w:rsidRPr="00486562">
        <w:rPr>
          <w:rFonts w:cstheme="minorHAnsi"/>
          <w:noProof/>
          <w:sz w:val="24"/>
          <w:szCs w:val="24"/>
        </w:rPr>
        <w:t xml:space="preserve">auf der Achse sitzen. </w:t>
      </w:r>
      <w:r w:rsidR="0076796F" w:rsidRPr="00486562">
        <w:rPr>
          <w:rFonts w:cstheme="minorHAnsi"/>
          <w:noProof/>
          <w:sz w:val="24"/>
          <w:szCs w:val="24"/>
        </w:rPr>
        <w:t>Beim Umbiegen erscheint der Blütenstand nicht lappig.</w:t>
      </w:r>
      <w:r w:rsidR="00D24808" w:rsidRPr="00486562">
        <w:rPr>
          <w:rFonts w:cstheme="minorHAnsi"/>
          <w:noProof/>
          <w:sz w:val="24"/>
          <w:szCs w:val="24"/>
        </w:rPr>
        <w:t xml:space="preserve"> </w:t>
      </w:r>
      <w:r w:rsidR="006A0431" w:rsidRPr="00486562">
        <w:rPr>
          <w:rFonts w:cstheme="minorHAnsi"/>
          <w:noProof/>
          <w:sz w:val="24"/>
          <w:szCs w:val="24"/>
        </w:rPr>
        <w:t xml:space="preserve">Die einzelnen Ährchen mit ihrer </w:t>
      </w:r>
      <w:r w:rsidR="00166C17">
        <w:rPr>
          <w:rFonts w:cstheme="minorHAnsi"/>
          <w:noProof/>
          <w:sz w:val="24"/>
          <w:szCs w:val="24"/>
        </w:rPr>
        <w:t xml:space="preserve">1-2mm lang </w:t>
      </w:r>
      <w:r w:rsidR="004F0293" w:rsidRPr="00486562">
        <w:rPr>
          <w:rFonts w:cstheme="minorHAnsi"/>
          <w:noProof/>
          <w:sz w:val="24"/>
          <w:szCs w:val="24"/>
        </w:rPr>
        <w:t xml:space="preserve">begrannten Hüllspelze sind </w:t>
      </w:r>
      <w:r w:rsidR="00B143BE" w:rsidRPr="00486562">
        <w:rPr>
          <w:rFonts w:cstheme="minorHAnsi"/>
          <w:noProof/>
          <w:sz w:val="24"/>
          <w:szCs w:val="24"/>
        </w:rPr>
        <w:t>4,5-5,5</w:t>
      </w:r>
      <w:r w:rsidR="001D4BDD" w:rsidRPr="00486562">
        <w:rPr>
          <w:rFonts w:cstheme="minorHAnsi"/>
          <w:noProof/>
          <w:sz w:val="24"/>
          <w:szCs w:val="24"/>
        </w:rPr>
        <w:t xml:space="preserve"> </w:t>
      </w:r>
      <w:r w:rsidR="00B143BE" w:rsidRPr="00486562">
        <w:rPr>
          <w:rFonts w:cstheme="minorHAnsi"/>
          <w:noProof/>
          <w:sz w:val="24"/>
          <w:szCs w:val="24"/>
        </w:rPr>
        <w:t>mm lang</w:t>
      </w:r>
      <w:r w:rsidR="004F0293" w:rsidRPr="00486562">
        <w:rPr>
          <w:rFonts w:cstheme="minorHAnsi"/>
          <w:noProof/>
          <w:sz w:val="24"/>
          <w:szCs w:val="24"/>
        </w:rPr>
        <w:t>.</w:t>
      </w:r>
    </w:p>
    <w:p w14:paraId="0A9E4D13" w14:textId="0ACF1388" w:rsidR="00966822" w:rsidRPr="00486562" w:rsidRDefault="00B61D2B" w:rsidP="00486562">
      <w:pPr>
        <w:spacing w:after="0"/>
        <w:rPr>
          <w:rFonts w:cstheme="minorHAnsi"/>
          <w:noProof/>
          <w:sz w:val="24"/>
          <w:szCs w:val="24"/>
        </w:rPr>
      </w:pPr>
      <w:r w:rsidRPr="00486562">
        <w:rPr>
          <w:rFonts w:cstheme="minorHAnsi"/>
          <w:noProof/>
          <w:sz w:val="24"/>
          <w:szCs w:val="24"/>
        </w:rPr>
        <w:t xml:space="preserve">Bei der ähnlichen Art </w:t>
      </w:r>
      <w:r w:rsidRPr="00486562">
        <w:rPr>
          <w:rFonts w:cstheme="minorHAnsi"/>
          <w:i/>
          <w:iCs/>
          <w:noProof/>
          <w:sz w:val="24"/>
          <w:szCs w:val="24"/>
        </w:rPr>
        <w:t>Alopecurus pratensis</w:t>
      </w:r>
      <w:r w:rsidRPr="00486562">
        <w:rPr>
          <w:rFonts w:cstheme="minorHAnsi"/>
          <w:noProof/>
          <w:sz w:val="24"/>
          <w:szCs w:val="24"/>
        </w:rPr>
        <w:t xml:space="preserve"> sind im Unterschied zu </w:t>
      </w:r>
      <w:r w:rsidRPr="00486562">
        <w:rPr>
          <w:rFonts w:cstheme="minorHAnsi"/>
          <w:i/>
          <w:iCs/>
          <w:noProof/>
          <w:sz w:val="24"/>
          <w:szCs w:val="24"/>
        </w:rPr>
        <w:t>Phleum pratense</w:t>
      </w:r>
      <w:r w:rsidRPr="00486562">
        <w:rPr>
          <w:rFonts w:cstheme="minorHAnsi"/>
          <w:noProof/>
          <w:sz w:val="24"/>
          <w:szCs w:val="24"/>
        </w:rPr>
        <w:t>, die Deckspelzen begrannt</w:t>
      </w:r>
      <w:r w:rsidR="001D4BDD" w:rsidRPr="00486562">
        <w:rPr>
          <w:rFonts w:cstheme="minorHAnsi"/>
          <w:noProof/>
          <w:sz w:val="24"/>
          <w:szCs w:val="24"/>
        </w:rPr>
        <w:t>.</w:t>
      </w:r>
    </w:p>
    <w:p w14:paraId="4DE213D4" w14:textId="04402787" w:rsidR="00671E08" w:rsidRPr="00486562" w:rsidRDefault="00671E08" w:rsidP="00671E08">
      <w:pPr>
        <w:rPr>
          <w:rFonts w:cstheme="minorHAnsi"/>
          <w:noProof/>
          <w:sz w:val="24"/>
          <w:szCs w:val="24"/>
        </w:rPr>
      </w:pPr>
      <w:r w:rsidRPr="00486562">
        <w:rPr>
          <w:rFonts w:cstheme="minorHAnsi"/>
          <w:b/>
          <w:bCs/>
          <w:noProof/>
          <w:sz w:val="24"/>
          <w:szCs w:val="24"/>
        </w:rPr>
        <w:t>Ökologie:</w:t>
      </w:r>
      <w:r w:rsidR="00681AC9" w:rsidRPr="00486562">
        <w:rPr>
          <w:rFonts w:cstheme="minorHAnsi"/>
          <w:b/>
          <w:bCs/>
          <w:noProof/>
          <w:sz w:val="24"/>
          <w:szCs w:val="24"/>
        </w:rPr>
        <w:t xml:space="preserve"> </w:t>
      </w:r>
      <w:r w:rsidR="00681AC9" w:rsidRPr="00486562">
        <w:rPr>
          <w:rFonts w:cstheme="minorHAnsi"/>
          <w:i/>
          <w:iCs/>
          <w:noProof/>
          <w:sz w:val="24"/>
          <w:szCs w:val="24"/>
        </w:rPr>
        <w:t>Phleum pratense</w:t>
      </w:r>
      <w:r w:rsidR="00966822" w:rsidRPr="00486562">
        <w:rPr>
          <w:rFonts w:cstheme="minorHAnsi"/>
          <w:noProof/>
          <w:sz w:val="24"/>
          <w:szCs w:val="24"/>
        </w:rPr>
        <w:t xml:space="preserve"> kommt in frischen bis feuchten Fettwiesen vor.</w:t>
      </w:r>
      <w:r w:rsidR="00214075" w:rsidRPr="00486562">
        <w:rPr>
          <w:rFonts w:cstheme="minorHAnsi"/>
          <w:noProof/>
          <w:sz w:val="24"/>
          <w:szCs w:val="24"/>
        </w:rPr>
        <w:t xml:space="preserve"> </w:t>
      </w:r>
    </w:p>
    <w:p w14:paraId="7CFCB8DB" w14:textId="77777777" w:rsidR="00486562" w:rsidRPr="00486562" w:rsidRDefault="00486562" w:rsidP="00486562">
      <w:pPr>
        <w:rPr>
          <w:rFonts w:cstheme="minorHAnsi"/>
          <w:noProof/>
          <w:sz w:val="24"/>
          <w:szCs w:val="24"/>
        </w:rPr>
      </w:pPr>
      <w:r w:rsidRPr="00486562">
        <w:rPr>
          <w:rFonts w:cstheme="minorHAnsi"/>
          <w:b/>
          <w:bCs/>
          <w:noProof/>
          <w:sz w:val="24"/>
          <w:szCs w:val="24"/>
        </w:rPr>
        <w:t>Blütezeit:</w:t>
      </w:r>
      <w:r w:rsidRPr="00486562">
        <w:rPr>
          <w:rFonts w:cstheme="minorHAnsi"/>
          <w:noProof/>
          <w:sz w:val="24"/>
          <w:szCs w:val="24"/>
        </w:rPr>
        <w:t xml:space="preserve"> Juni bis September</w:t>
      </w:r>
    </w:p>
    <w:p w14:paraId="751F93DD" w14:textId="724A16CA" w:rsidR="00671E08" w:rsidRPr="00486562" w:rsidRDefault="00681AC9" w:rsidP="00671E08">
      <w:pPr>
        <w:rPr>
          <w:rFonts w:cstheme="minorHAnsi"/>
          <w:sz w:val="24"/>
          <w:szCs w:val="24"/>
        </w:rPr>
      </w:pPr>
      <w:r w:rsidRPr="00486562">
        <w:rPr>
          <w:rFonts w:cstheme="minorHAnsi"/>
          <w:b/>
          <w:bCs/>
          <w:sz w:val="24"/>
          <w:szCs w:val="24"/>
        </w:rPr>
        <w:t>Höhenstufe:</w:t>
      </w:r>
      <w:r w:rsidRPr="00486562">
        <w:rPr>
          <w:rFonts w:cstheme="minorHAnsi"/>
          <w:sz w:val="24"/>
          <w:szCs w:val="24"/>
        </w:rPr>
        <w:t xml:space="preserve"> </w:t>
      </w:r>
      <w:proofErr w:type="spellStart"/>
      <w:r w:rsidRPr="00486562">
        <w:rPr>
          <w:rFonts w:cstheme="minorHAnsi"/>
          <w:sz w:val="24"/>
          <w:szCs w:val="24"/>
        </w:rPr>
        <w:t>collin</w:t>
      </w:r>
      <w:proofErr w:type="spellEnd"/>
      <w:r w:rsidRPr="00486562">
        <w:rPr>
          <w:rFonts w:cstheme="minorHAnsi"/>
          <w:sz w:val="24"/>
          <w:szCs w:val="24"/>
        </w:rPr>
        <w:t xml:space="preserve"> bis montan </w:t>
      </w:r>
    </w:p>
    <w:p w14:paraId="1B208C03" w14:textId="77777777" w:rsidR="00486562" w:rsidRPr="00933E0C" w:rsidRDefault="00486562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4AA81AB1" w14:textId="77777777" w:rsidR="00486562" w:rsidRPr="00933E0C" w:rsidRDefault="00486562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E14DCB5" w14:textId="77777777" w:rsidR="00486562" w:rsidRPr="00F21DE8" w:rsidRDefault="00486562" w:rsidP="00486562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109" w:tblpY="12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0E56E3" w:rsidRPr="00486562" w14:paraId="006094A9" w14:textId="77777777" w:rsidTr="000E56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5CD5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0FF2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BC6F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E289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9768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5185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FB89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0E56E3" w:rsidRPr="00486562" w14:paraId="0B3CFC02" w14:textId="77777777" w:rsidTr="000E56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C6D4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F65AC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313C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9AE3A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C255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19DC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E4BD" w14:textId="77777777" w:rsidR="000E56E3" w:rsidRPr="00486562" w:rsidRDefault="000E56E3" w:rsidP="000E56E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86562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5077D033" w14:textId="77777777" w:rsidR="00C76A98" w:rsidRPr="00486562" w:rsidRDefault="00C76A98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538EAC4C" w14:textId="60CCB9B0" w:rsidR="002127CD" w:rsidRPr="00486562" w:rsidRDefault="00C76A98" w:rsidP="00486562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486562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2127CD" w:rsidRPr="00486562" w:rsidSect="003A44AF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E547" w14:textId="77777777" w:rsidR="003A44AF" w:rsidRDefault="003A44AF" w:rsidP="00671E08">
      <w:pPr>
        <w:spacing w:after="0" w:line="240" w:lineRule="auto"/>
      </w:pPr>
      <w:r>
        <w:separator/>
      </w:r>
    </w:p>
  </w:endnote>
  <w:endnote w:type="continuationSeparator" w:id="0">
    <w:p w14:paraId="6F690D49" w14:textId="77777777" w:rsidR="003A44AF" w:rsidRDefault="003A44AF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F14" w14:textId="77777777" w:rsidR="00486562" w:rsidRPr="009F1BF4" w:rsidRDefault="00486562" w:rsidP="0048656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EEEEA9A" w14:textId="77777777" w:rsidR="00486562" w:rsidRPr="009F1BF4" w:rsidRDefault="00486562" w:rsidP="0048656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E7A14DC" w14:textId="533DEE4B" w:rsidR="00486562" w:rsidRDefault="00486562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836B" w14:textId="77777777" w:rsidR="003A44AF" w:rsidRDefault="003A44AF" w:rsidP="00671E08">
      <w:pPr>
        <w:spacing w:after="0" w:line="240" w:lineRule="auto"/>
      </w:pPr>
      <w:r>
        <w:separator/>
      </w:r>
    </w:p>
  </w:footnote>
  <w:footnote w:type="continuationSeparator" w:id="0">
    <w:p w14:paraId="13C866F9" w14:textId="77777777" w:rsidR="003A44AF" w:rsidRDefault="003A44AF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3A8ED5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0BA3"/>
    <w:rsid w:val="00004C3B"/>
    <w:rsid w:val="00016D2E"/>
    <w:rsid w:val="00036F9D"/>
    <w:rsid w:val="000E56E3"/>
    <w:rsid w:val="00112E1E"/>
    <w:rsid w:val="00116ED9"/>
    <w:rsid w:val="00131467"/>
    <w:rsid w:val="00150FF2"/>
    <w:rsid w:val="00161961"/>
    <w:rsid w:val="0016426F"/>
    <w:rsid w:val="00166C17"/>
    <w:rsid w:val="00176EBF"/>
    <w:rsid w:val="00180003"/>
    <w:rsid w:val="0018504B"/>
    <w:rsid w:val="001D4BDD"/>
    <w:rsid w:val="002127CD"/>
    <w:rsid w:val="00214075"/>
    <w:rsid w:val="002459D8"/>
    <w:rsid w:val="00277DC0"/>
    <w:rsid w:val="003018AF"/>
    <w:rsid w:val="00323AF6"/>
    <w:rsid w:val="00327B66"/>
    <w:rsid w:val="003460D1"/>
    <w:rsid w:val="003759D7"/>
    <w:rsid w:val="003A44AF"/>
    <w:rsid w:val="003A6E49"/>
    <w:rsid w:val="003C2A0F"/>
    <w:rsid w:val="003E23DE"/>
    <w:rsid w:val="003F4D2F"/>
    <w:rsid w:val="004206BC"/>
    <w:rsid w:val="00437833"/>
    <w:rsid w:val="00486562"/>
    <w:rsid w:val="004A1D68"/>
    <w:rsid w:val="004B3621"/>
    <w:rsid w:val="004D33F6"/>
    <w:rsid w:val="004D5FB7"/>
    <w:rsid w:val="004F0293"/>
    <w:rsid w:val="00515DFF"/>
    <w:rsid w:val="00525FDF"/>
    <w:rsid w:val="00537F05"/>
    <w:rsid w:val="00543622"/>
    <w:rsid w:val="00546BCA"/>
    <w:rsid w:val="00564CA5"/>
    <w:rsid w:val="00581217"/>
    <w:rsid w:val="005837D2"/>
    <w:rsid w:val="005950C6"/>
    <w:rsid w:val="005B3061"/>
    <w:rsid w:val="005D730C"/>
    <w:rsid w:val="006405FF"/>
    <w:rsid w:val="00642137"/>
    <w:rsid w:val="00671E08"/>
    <w:rsid w:val="00681AC9"/>
    <w:rsid w:val="006A0431"/>
    <w:rsid w:val="006E2212"/>
    <w:rsid w:val="00757CDB"/>
    <w:rsid w:val="0076796F"/>
    <w:rsid w:val="007B3EE2"/>
    <w:rsid w:val="007C407D"/>
    <w:rsid w:val="007C4393"/>
    <w:rsid w:val="008311FB"/>
    <w:rsid w:val="00851100"/>
    <w:rsid w:val="008E1759"/>
    <w:rsid w:val="00966822"/>
    <w:rsid w:val="00A26553"/>
    <w:rsid w:val="00A30445"/>
    <w:rsid w:val="00A542F9"/>
    <w:rsid w:val="00AC64DD"/>
    <w:rsid w:val="00AE5F84"/>
    <w:rsid w:val="00B143BE"/>
    <w:rsid w:val="00B25C1D"/>
    <w:rsid w:val="00B5349C"/>
    <w:rsid w:val="00B5754B"/>
    <w:rsid w:val="00B61D2B"/>
    <w:rsid w:val="00B61D4B"/>
    <w:rsid w:val="00BA52E1"/>
    <w:rsid w:val="00BF420B"/>
    <w:rsid w:val="00C040F9"/>
    <w:rsid w:val="00C12E7B"/>
    <w:rsid w:val="00C4598A"/>
    <w:rsid w:val="00C65043"/>
    <w:rsid w:val="00C76A98"/>
    <w:rsid w:val="00C81EEE"/>
    <w:rsid w:val="00C907AC"/>
    <w:rsid w:val="00C90967"/>
    <w:rsid w:val="00CC3588"/>
    <w:rsid w:val="00CD1302"/>
    <w:rsid w:val="00CE49A2"/>
    <w:rsid w:val="00D24808"/>
    <w:rsid w:val="00D2716B"/>
    <w:rsid w:val="00DE2C63"/>
    <w:rsid w:val="00E568A2"/>
    <w:rsid w:val="00EC6D8D"/>
    <w:rsid w:val="00EE475E"/>
    <w:rsid w:val="00F46D4D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E56E3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90</cp:revision>
  <dcterms:created xsi:type="dcterms:W3CDTF">2023-07-21T12:24:00Z</dcterms:created>
  <dcterms:modified xsi:type="dcterms:W3CDTF">2024-10-29T08:41:00Z</dcterms:modified>
</cp:coreProperties>
</file>