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120C9B7D" w:rsidR="00671E08" w:rsidRPr="00FF6DEB" w:rsidRDefault="007F62ED" w:rsidP="00835EC8">
      <w:pPr>
        <w:rPr>
          <w:rFonts w:cstheme="minorHAnsi"/>
          <w:b/>
          <w:bCs/>
          <w:noProof/>
          <w:sz w:val="32"/>
          <w:szCs w:val="32"/>
        </w:rPr>
      </w:pPr>
      <w:r w:rsidRPr="00FF6DEB">
        <w:rPr>
          <w:rFonts w:cstheme="minorHAnsi"/>
          <w:b/>
          <w:bCs/>
          <w:i/>
          <w:iCs/>
          <w:noProof/>
          <w:sz w:val="32"/>
          <w:szCs w:val="32"/>
        </w:rPr>
        <w:t>Dryopteris filix-mas</w:t>
      </w:r>
      <w:r w:rsidR="00671E08" w:rsidRPr="00FF6DEB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FF6DEB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FF6DEB">
        <w:rPr>
          <w:rFonts w:cstheme="minorHAnsi"/>
          <w:b/>
          <w:bCs/>
          <w:noProof/>
          <w:sz w:val="32"/>
          <w:szCs w:val="32"/>
        </w:rPr>
        <w:t>Echt</w:t>
      </w:r>
      <w:r w:rsidR="00457BE3" w:rsidRPr="00FF6DEB">
        <w:rPr>
          <w:rFonts w:cstheme="minorHAnsi"/>
          <w:b/>
          <w:bCs/>
          <w:noProof/>
          <w:sz w:val="32"/>
          <w:szCs w:val="32"/>
        </w:rPr>
        <w:t>-</w:t>
      </w:r>
      <w:r w:rsidRPr="00FF6DEB">
        <w:rPr>
          <w:rFonts w:cstheme="minorHAnsi"/>
          <w:b/>
          <w:bCs/>
          <w:noProof/>
          <w:sz w:val="32"/>
          <w:szCs w:val="32"/>
        </w:rPr>
        <w:t>Wurmfarn</w:t>
      </w:r>
      <w:r w:rsidR="00671E08" w:rsidRPr="00FF6DEB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6990F7CA" w:rsidR="00671E08" w:rsidRPr="00FF6DEB" w:rsidRDefault="007B3EE2" w:rsidP="00835EC8">
      <w:pPr>
        <w:rPr>
          <w:rFonts w:cstheme="minorHAnsi"/>
          <w:noProof/>
          <w:sz w:val="24"/>
          <w:szCs w:val="24"/>
        </w:rPr>
      </w:pPr>
      <w:r w:rsidRPr="00FF6DEB">
        <w:rPr>
          <w:rFonts w:cstheme="minorHAnsi"/>
          <w:noProof/>
          <w:sz w:val="24"/>
          <w:szCs w:val="24"/>
        </w:rPr>
        <w:t>[</w:t>
      </w:r>
      <w:r w:rsidR="007F62ED" w:rsidRPr="00FF6DEB">
        <w:rPr>
          <w:rFonts w:cstheme="minorHAnsi"/>
          <w:noProof/>
          <w:sz w:val="24"/>
          <w:szCs w:val="24"/>
        </w:rPr>
        <w:t>Dryopteridaceae, Wurmfarngewächse</w:t>
      </w:r>
      <w:r w:rsidR="00671E08" w:rsidRPr="00FF6DEB">
        <w:rPr>
          <w:rFonts w:cstheme="minorHAnsi"/>
          <w:noProof/>
          <w:sz w:val="24"/>
          <w:szCs w:val="24"/>
        </w:rPr>
        <w:t>]</w:t>
      </w:r>
    </w:p>
    <w:p w14:paraId="7106DB13" w14:textId="77777777" w:rsidR="00BF7DCB" w:rsidRPr="00FF6DEB" w:rsidRDefault="00BF7DCB" w:rsidP="00835EC8">
      <w:pPr>
        <w:rPr>
          <w:rFonts w:cstheme="minorHAnsi"/>
          <w:noProof/>
          <w:sz w:val="24"/>
          <w:szCs w:val="24"/>
        </w:rPr>
      </w:pPr>
    </w:p>
    <w:p w14:paraId="03B79424" w14:textId="2ACBC0AE" w:rsidR="00671E08" w:rsidRPr="00FF6DEB" w:rsidRDefault="003E656D" w:rsidP="00835EC8">
      <w:pPr>
        <w:jc w:val="center"/>
        <w:rPr>
          <w:rFonts w:cstheme="minorHAnsi"/>
          <w:noProof/>
          <w:sz w:val="24"/>
          <w:szCs w:val="24"/>
        </w:rPr>
      </w:pPr>
      <w:r w:rsidRPr="00FF6DEB">
        <w:rPr>
          <w:rFonts w:cstheme="minorHAnsi"/>
          <w:noProof/>
          <w:sz w:val="24"/>
          <w:szCs w:val="24"/>
        </w:rPr>
        <w:drawing>
          <wp:inline distT="0" distB="0" distL="0" distR="0" wp14:anchorId="123E06BF" wp14:editId="3A3072D0">
            <wp:extent cx="2286000" cy="1763395"/>
            <wp:effectExtent l="0" t="0" r="0" b="8255"/>
            <wp:docPr id="741551901" name="Grafik 1" descr="Ein Bild, das Blume, Pflanze, Farn, Blat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551901" name="Grafik 1" descr="Ein Bild, das Blume, Pflanze, Farn, Blat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73"/>
                    <a:stretch/>
                  </pic:blipFill>
                  <pic:spPr bwMode="auto">
                    <a:xfrm>
                      <a:off x="0" y="0"/>
                      <a:ext cx="2286784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35EC8" w:rsidRPr="00FF6DEB">
        <w:rPr>
          <w:rFonts w:cstheme="minorHAnsi"/>
          <w:noProof/>
          <w:sz w:val="24"/>
          <w:szCs w:val="24"/>
        </w:rPr>
        <w:t xml:space="preserve">  </w:t>
      </w:r>
      <w:r w:rsidRPr="00FF6DEB">
        <w:rPr>
          <w:rFonts w:cstheme="minorHAnsi"/>
          <w:noProof/>
          <w:sz w:val="24"/>
          <w:szCs w:val="24"/>
        </w:rPr>
        <w:drawing>
          <wp:inline distT="0" distB="0" distL="0" distR="0" wp14:anchorId="703F7862" wp14:editId="75D0475F">
            <wp:extent cx="1323000" cy="1764000"/>
            <wp:effectExtent l="0" t="0" r="0" b="8255"/>
            <wp:docPr id="2058859655" name="Grafik 2" descr="Ein Bild, das Landpflanze, Stiel Stamm, Gefäßpflanze, Vegetati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859655" name="Grafik 2" descr="Ein Bild, das Landpflanze, Stiel Stamm, Gefäßpflanze, Vegetatio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000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78DF" w:rsidRPr="00FF6DEB">
        <w:rPr>
          <w:rFonts w:cstheme="minorHAnsi"/>
          <w:noProof/>
          <w:sz w:val="24"/>
          <w:szCs w:val="24"/>
        </w:rPr>
        <w:t xml:space="preserve"> </w:t>
      </w:r>
      <w:r w:rsidRPr="00FF6DEB">
        <w:rPr>
          <w:rFonts w:cstheme="minorHAnsi"/>
          <w:noProof/>
          <w:sz w:val="24"/>
          <w:szCs w:val="24"/>
        </w:rPr>
        <w:t xml:space="preserve"> </w:t>
      </w:r>
      <w:r w:rsidR="006D3983" w:rsidRPr="00FF6DEB">
        <w:rPr>
          <w:rFonts w:cstheme="minorHAnsi"/>
          <w:noProof/>
          <w:sz w:val="24"/>
          <w:szCs w:val="24"/>
        </w:rPr>
        <w:drawing>
          <wp:inline distT="0" distB="0" distL="0" distR="0" wp14:anchorId="7945FDCA" wp14:editId="430334BC">
            <wp:extent cx="1938356" cy="1764000"/>
            <wp:effectExtent l="0" t="0" r="5080" b="8255"/>
            <wp:docPr id="1686268725" name="Grafik 3" descr="Ein Bild, das Pflanze, Blume, Farn, Blat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268725" name="Grafik 3" descr="Ein Bild, das Pflanze, Blume, Farn, Blat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47" t="16594"/>
                    <a:stretch/>
                  </pic:blipFill>
                  <pic:spPr bwMode="auto">
                    <a:xfrm>
                      <a:off x="0" y="0"/>
                      <a:ext cx="1938356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25CDEF" w14:textId="77777777" w:rsidR="00671E08" w:rsidRPr="00FF6DEB" w:rsidRDefault="00671E08" w:rsidP="00835EC8">
      <w:pPr>
        <w:rPr>
          <w:rFonts w:cstheme="minorHAnsi"/>
          <w:noProof/>
        </w:rPr>
      </w:pPr>
    </w:p>
    <w:p w14:paraId="47ED15AA" w14:textId="04AAC680" w:rsidR="00BD5B18" w:rsidRPr="00FF6DEB" w:rsidRDefault="00671E08" w:rsidP="00835EC8">
      <w:pPr>
        <w:rPr>
          <w:rFonts w:cstheme="minorHAnsi"/>
          <w:noProof/>
          <w:sz w:val="24"/>
          <w:szCs w:val="24"/>
        </w:rPr>
      </w:pPr>
      <w:r w:rsidRPr="00FF6DEB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FF6DEB">
        <w:rPr>
          <w:rFonts w:cstheme="minorHAnsi"/>
          <w:noProof/>
          <w:sz w:val="24"/>
          <w:szCs w:val="24"/>
        </w:rPr>
        <w:t xml:space="preserve"> </w:t>
      </w:r>
      <w:r w:rsidR="00F94FDD" w:rsidRPr="00FF6DEB">
        <w:rPr>
          <w:rFonts w:cstheme="minorHAnsi"/>
          <w:noProof/>
          <w:sz w:val="24"/>
          <w:szCs w:val="24"/>
        </w:rPr>
        <w:t xml:space="preserve">Dieser ausdauernde Wurmfarn erreicht eine Höhe von </w:t>
      </w:r>
      <w:r w:rsidR="007F62ED" w:rsidRPr="00FF6DEB">
        <w:rPr>
          <w:rFonts w:cstheme="minorHAnsi"/>
          <w:noProof/>
          <w:sz w:val="24"/>
          <w:szCs w:val="24"/>
        </w:rPr>
        <w:t>50-130(170)</w:t>
      </w:r>
      <w:r w:rsidR="00F964FD" w:rsidRPr="00FF6DEB">
        <w:rPr>
          <w:rFonts w:cstheme="minorHAnsi"/>
          <w:noProof/>
          <w:sz w:val="24"/>
          <w:szCs w:val="24"/>
        </w:rPr>
        <w:t xml:space="preserve"> </w:t>
      </w:r>
      <w:r w:rsidR="00A43A78" w:rsidRPr="00FF6DEB">
        <w:rPr>
          <w:rFonts w:cstheme="minorHAnsi"/>
          <w:noProof/>
          <w:sz w:val="24"/>
          <w:szCs w:val="24"/>
        </w:rPr>
        <w:t>cm.</w:t>
      </w:r>
      <w:r w:rsidR="007F62ED" w:rsidRPr="00FF6DEB">
        <w:rPr>
          <w:rFonts w:cstheme="minorHAnsi"/>
          <w:noProof/>
          <w:sz w:val="24"/>
          <w:szCs w:val="24"/>
        </w:rPr>
        <w:t xml:space="preserve"> </w:t>
      </w:r>
    </w:p>
    <w:p w14:paraId="5FFB7C72" w14:textId="41AB1BE7" w:rsidR="00671E08" w:rsidRPr="00FF6DEB" w:rsidRDefault="007003FD" w:rsidP="00835EC8">
      <w:pPr>
        <w:rPr>
          <w:rFonts w:cstheme="minorHAnsi"/>
          <w:noProof/>
          <w:sz w:val="24"/>
          <w:szCs w:val="24"/>
        </w:rPr>
      </w:pPr>
      <w:r w:rsidRPr="00FF6DEB">
        <w:rPr>
          <w:rFonts w:cstheme="minorHAnsi"/>
          <w:noProof/>
          <w:sz w:val="24"/>
          <w:szCs w:val="24"/>
        </w:rPr>
        <w:t>Der Umriss der Blattspreite ist länglich, lanzettlich</w:t>
      </w:r>
      <w:r w:rsidR="00882E34" w:rsidRPr="00FF6DEB">
        <w:rPr>
          <w:rFonts w:cstheme="minorHAnsi"/>
          <w:noProof/>
          <w:sz w:val="24"/>
          <w:szCs w:val="24"/>
        </w:rPr>
        <w:t>. Die Hauptfieder</w:t>
      </w:r>
      <w:r w:rsidR="00780689" w:rsidRPr="00FF6DEB">
        <w:rPr>
          <w:rFonts w:cstheme="minorHAnsi"/>
          <w:noProof/>
          <w:sz w:val="24"/>
          <w:szCs w:val="24"/>
        </w:rPr>
        <w:t>spindel</w:t>
      </w:r>
      <w:r w:rsidR="00FE52BA" w:rsidRPr="00FF6DEB">
        <w:rPr>
          <w:rFonts w:cstheme="minorHAnsi"/>
          <w:noProof/>
          <w:sz w:val="24"/>
          <w:szCs w:val="24"/>
        </w:rPr>
        <w:t>n</w:t>
      </w:r>
      <w:r w:rsidR="00780689" w:rsidRPr="00FF6DEB">
        <w:rPr>
          <w:rFonts w:cstheme="minorHAnsi"/>
          <w:noProof/>
          <w:sz w:val="24"/>
          <w:szCs w:val="24"/>
        </w:rPr>
        <w:t xml:space="preserve"> sind am Grund blass-grünlich</w:t>
      </w:r>
      <w:r w:rsidR="00EA3B5D" w:rsidRPr="00FF6DEB">
        <w:rPr>
          <w:rFonts w:cstheme="minorHAnsi"/>
          <w:noProof/>
          <w:sz w:val="24"/>
          <w:szCs w:val="24"/>
        </w:rPr>
        <w:t>. Im</w:t>
      </w:r>
      <w:r w:rsidR="00594A1B" w:rsidRPr="00FF6DEB">
        <w:rPr>
          <w:rFonts w:cstheme="minorHAnsi"/>
          <w:noProof/>
          <w:sz w:val="24"/>
          <w:szCs w:val="24"/>
        </w:rPr>
        <w:t xml:space="preserve"> </w:t>
      </w:r>
      <w:r w:rsidR="00EE5D75" w:rsidRPr="00FF6DEB">
        <w:rPr>
          <w:rFonts w:cstheme="minorHAnsi"/>
          <w:noProof/>
          <w:sz w:val="24"/>
          <w:szCs w:val="24"/>
        </w:rPr>
        <w:t>Blattq</w:t>
      </w:r>
      <w:r w:rsidR="00023483" w:rsidRPr="00FF6DEB">
        <w:rPr>
          <w:rFonts w:cstheme="minorHAnsi"/>
          <w:noProof/>
          <w:sz w:val="24"/>
          <w:szCs w:val="24"/>
        </w:rPr>
        <w:t xml:space="preserve">uerschnitt </w:t>
      </w:r>
      <w:r w:rsidR="00594A1B" w:rsidRPr="00FF6DEB">
        <w:rPr>
          <w:rFonts w:cstheme="minorHAnsi"/>
          <w:noProof/>
          <w:sz w:val="24"/>
          <w:szCs w:val="24"/>
        </w:rPr>
        <w:t xml:space="preserve">zeigen sich </w:t>
      </w:r>
      <w:r w:rsidR="00023483" w:rsidRPr="00FF6DEB">
        <w:rPr>
          <w:rFonts w:cstheme="minorHAnsi"/>
          <w:noProof/>
          <w:sz w:val="24"/>
          <w:szCs w:val="24"/>
        </w:rPr>
        <w:t>4-7 Gefäßbündel</w:t>
      </w:r>
      <w:r w:rsidR="00594A1B" w:rsidRPr="00FF6DEB">
        <w:rPr>
          <w:rFonts w:cstheme="minorHAnsi"/>
          <w:noProof/>
          <w:sz w:val="24"/>
          <w:szCs w:val="24"/>
        </w:rPr>
        <w:t xml:space="preserve">, bei </w:t>
      </w:r>
      <w:r w:rsidR="00023483" w:rsidRPr="00FF6DEB">
        <w:rPr>
          <w:rFonts w:cstheme="minorHAnsi"/>
          <w:i/>
          <w:iCs/>
          <w:noProof/>
          <w:sz w:val="24"/>
          <w:szCs w:val="24"/>
        </w:rPr>
        <w:t>Athyr</w:t>
      </w:r>
      <w:r w:rsidR="0020423A" w:rsidRPr="00FF6DEB">
        <w:rPr>
          <w:rFonts w:cstheme="minorHAnsi"/>
          <w:i/>
          <w:iCs/>
          <w:noProof/>
          <w:sz w:val="24"/>
          <w:szCs w:val="24"/>
        </w:rPr>
        <w:t>ium filix-femina</w:t>
      </w:r>
      <w:r w:rsidR="0020423A" w:rsidRPr="00FF6DEB">
        <w:rPr>
          <w:rFonts w:cstheme="minorHAnsi"/>
          <w:noProof/>
          <w:sz w:val="24"/>
          <w:szCs w:val="24"/>
        </w:rPr>
        <w:t xml:space="preserve"> hingegen nur </w:t>
      </w:r>
      <w:r w:rsidR="002E7A9B">
        <w:rPr>
          <w:rFonts w:cstheme="minorHAnsi"/>
          <w:noProof/>
          <w:sz w:val="24"/>
          <w:szCs w:val="24"/>
        </w:rPr>
        <w:t>zwei</w:t>
      </w:r>
      <w:r w:rsidR="0020423A" w:rsidRPr="00FF6DEB">
        <w:rPr>
          <w:rFonts w:cstheme="minorHAnsi"/>
          <w:noProof/>
          <w:sz w:val="24"/>
          <w:szCs w:val="24"/>
        </w:rPr>
        <w:t xml:space="preserve">. </w:t>
      </w:r>
      <w:r w:rsidR="00E207F5" w:rsidRPr="00FF6DEB">
        <w:rPr>
          <w:rFonts w:cstheme="minorHAnsi"/>
          <w:noProof/>
          <w:sz w:val="24"/>
          <w:szCs w:val="24"/>
        </w:rPr>
        <w:t xml:space="preserve">Die Spindeln der Hauptfiedern sind am Grund mit </w:t>
      </w:r>
      <w:r w:rsidR="00EE5D75" w:rsidRPr="00FF6DEB">
        <w:rPr>
          <w:rFonts w:cstheme="minorHAnsi"/>
          <w:noProof/>
          <w:sz w:val="24"/>
          <w:szCs w:val="24"/>
        </w:rPr>
        <w:t>einfarbigen, bräunlichen Spreuschuppen übersäat.</w:t>
      </w:r>
      <w:r w:rsidR="006E3288" w:rsidRPr="00FF6DEB">
        <w:rPr>
          <w:rFonts w:cstheme="minorHAnsi"/>
          <w:noProof/>
          <w:sz w:val="24"/>
          <w:szCs w:val="24"/>
        </w:rPr>
        <w:t xml:space="preserve"> </w:t>
      </w:r>
      <w:r w:rsidR="009952C0" w:rsidRPr="00FF6DEB">
        <w:rPr>
          <w:rFonts w:cstheme="minorHAnsi"/>
          <w:noProof/>
          <w:sz w:val="24"/>
          <w:szCs w:val="24"/>
        </w:rPr>
        <w:t>Die Fiederabschnitte sind allseits kerbgesägt und auf deren Unterseite befinden sich die nierenförmigen Sori. Diese liegen nahe dem Mittelnerv und deren Schleier schrumpfen nach dem Öffnen zusammen</w:t>
      </w:r>
      <w:r w:rsidR="00CF6E2A" w:rsidRPr="00FF6DEB">
        <w:rPr>
          <w:rFonts w:cstheme="minorHAnsi"/>
          <w:noProof/>
          <w:sz w:val="24"/>
          <w:szCs w:val="24"/>
        </w:rPr>
        <w:t>,</w:t>
      </w:r>
      <w:r w:rsidR="009952C0" w:rsidRPr="00FF6DEB">
        <w:rPr>
          <w:rFonts w:cstheme="minorHAnsi"/>
          <w:noProof/>
          <w:sz w:val="24"/>
          <w:szCs w:val="24"/>
        </w:rPr>
        <w:t xml:space="preserve"> bis </w:t>
      </w:r>
      <w:r w:rsidR="00BA43CB" w:rsidRPr="00FF6DEB">
        <w:rPr>
          <w:rFonts w:cstheme="minorHAnsi"/>
          <w:noProof/>
          <w:sz w:val="24"/>
          <w:szCs w:val="24"/>
        </w:rPr>
        <w:t>sie abfallen</w:t>
      </w:r>
      <w:r w:rsidR="00DC3290" w:rsidRPr="00FF6DEB">
        <w:rPr>
          <w:rFonts w:cstheme="minorHAnsi"/>
          <w:noProof/>
          <w:sz w:val="24"/>
          <w:szCs w:val="24"/>
        </w:rPr>
        <w:t>.</w:t>
      </w:r>
    </w:p>
    <w:p w14:paraId="4DE213D4" w14:textId="4384CA40" w:rsidR="00671E08" w:rsidRPr="00FF6DEB" w:rsidRDefault="00671E08" w:rsidP="00835EC8">
      <w:pPr>
        <w:rPr>
          <w:rFonts w:cstheme="minorHAnsi"/>
          <w:noProof/>
          <w:sz w:val="24"/>
          <w:szCs w:val="24"/>
        </w:rPr>
      </w:pPr>
      <w:r w:rsidRPr="00FF6DEB">
        <w:rPr>
          <w:rFonts w:cstheme="minorHAnsi"/>
          <w:b/>
          <w:bCs/>
          <w:noProof/>
          <w:sz w:val="24"/>
          <w:szCs w:val="24"/>
        </w:rPr>
        <w:t>Ökologie:</w:t>
      </w:r>
      <w:r w:rsidRPr="00FF6DEB">
        <w:rPr>
          <w:rFonts w:cstheme="minorHAnsi"/>
          <w:noProof/>
          <w:sz w:val="24"/>
          <w:szCs w:val="24"/>
        </w:rPr>
        <w:t xml:space="preserve"> </w:t>
      </w:r>
      <w:r w:rsidR="00BD5B18" w:rsidRPr="00FF6DEB">
        <w:rPr>
          <w:rFonts w:cstheme="minorHAnsi"/>
          <w:i/>
          <w:iCs/>
          <w:noProof/>
          <w:sz w:val="24"/>
          <w:szCs w:val="24"/>
        </w:rPr>
        <w:t xml:space="preserve">Dryopteris </w:t>
      </w:r>
      <w:r w:rsidR="0047300E" w:rsidRPr="00FF6DEB">
        <w:rPr>
          <w:rFonts w:cstheme="minorHAnsi"/>
          <w:i/>
          <w:iCs/>
          <w:noProof/>
          <w:sz w:val="24"/>
          <w:szCs w:val="24"/>
        </w:rPr>
        <w:t>filix-mas</w:t>
      </w:r>
      <w:r w:rsidR="0047300E" w:rsidRPr="00FF6DEB">
        <w:rPr>
          <w:rFonts w:cstheme="minorHAnsi"/>
          <w:noProof/>
          <w:sz w:val="24"/>
          <w:szCs w:val="24"/>
        </w:rPr>
        <w:t xml:space="preserve"> kommt in frischen Wä</w:t>
      </w:r>
      <w:r w:rsidR="00AD2184" w:rsidRPr="00FF6DEB">
        <w:rPr>
          <w:rFonts w:cstheme="minorHAnsi"/>
          <w:noProof/>
          <w:sz w:val="24"/>
          <w:szCs w:val="24"/>
        </w:rPr>
        <w:t>l</w:t>
      </w:r>
      <w:r w:rsidR="0047300E" w:rsidRPr="00FF6DEB">
        <w:rPr>
          <w:rFonts w:cstheme="minorHAnsi"/>
          <w:noProof/>
          <w:sz w:val="24"/>
          <w:szCs w:val="24"/>
        </w:rPr>
        <w:t xml:space="preserve">dern, in Gebüschen, </w:t>
      </w:r>
      <w:r w:rsidR="008357B2" w:rsidRPr="00FF6DEB">
        <w:rPr>
          <w:rFonts w:cstheme="minorHAnsi"/>
          <w:noProof/>
          <w:sz w:val="24"/>
          <w:szCs w:val="24"/>
        </w:rPr>
        <w:t>in Hochstaudenfluren und auf Waldschlägen vor.</w:t>
      </w:r>
    </w:p>
    <w:p w14:paraId="5F6E804B" w14:textId="77777777" w:rsidR="002E7A9B" w:rsidRPr="00FF6DEB" w:rsidRDefault="002E7A9B" w:rsidP="002E7A9B">
      <w:pPr>
        <w:rPr>
          <w:rFonts w:cstheme="minorHAnsi"/>
          <w:noProof/>
          <w:sz w:val="24"/>
          <w:szCs w:val="24"/>
        </w:rPr>
      </w:pPr>
      <w:r w:rsidRPr="00FF6DEB">
        <w:rPr>
          <w:rFonts w:cstheme="minorHAnsi"/>
          <w:b/>
          <w:bCs/>
          <w:noProof/>
          <w:sz w:val="24"/>
          <w:szCs w:val="24"/>
        </w:rPr>
        <w:t>Blütezeit:</w:t>
      </w:r>
      <w:r w:rsidRPr="00FF6DEB">
        <w:rPr>
          <w:rFonts w:cstheme="minorHAnsi"/>
          <w:noProof/>
          <w:sz w:val="24"/>
          <w:szCs w:val="24"/>
        </w:rPr>
        <w:t xml:space="preserve"> Juli bis September</w:t>
      </w:r>
    </w:p>
    <w:p w14:paraId="40A066AA" w14:textId="54A9A8C5" w:rsidR="00671E08" w:rsidRPr="00FF6DEB" w:rsidRDefault="00BD5B18" w:rsidP="00835EC8">
      <w:pPr>
        <w:rPr>
          <w:rFonts w:cstheme="minorHAnsi"/>
          <w:sz w:val="24"/>
          <w:szCs w:val="24"/>
        </w:rPr>
      </w:pPr>
      <w:r w:rsidRPr="00FF6DEB">
        <w:rPr>
          <w:rFonts w:cstheme="minorHAnsi"/>
          <w:b/>
          <w:bCs/>
          <w:sz w:val="24"/>
          <w:szCs w:val="24"/>
        </w:rPr>
        <w:t>Höhenstufe:</w:t>
      </w:r>
      <w:r w:rsidRPr="00FF6DEB">
        <w:rPr>
          <w:rFonts w:cstheme="minorHAnsi"/>
          <w:sz w:val="24"/>
          <w:szCs w:val="24"/>
        </w:rPr>
        <w:t xml:space="preserve"> collin bis subalpin</w:t>
      </w:r>
    </w:p>
    <w:p w14:paraId="684519C4" w14:textId="77777777" w:rsidR="002E7A9B" w:rsidRPr="00F21DE8" w:rsidRDefault="002E7A9B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21DE8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F21DE8">
        <w:rPr>
          <w:rFonts w:cstheme="minorHAnsi"/>
          <w:noProof/>
          <w:sz w:val="24"/>
          <w:szCs w:val="24"/>
          <w:lang w:val="de-AT"/>
        </w:rPr>
        <w:t>LC</w:t>
      </w:r>
    </w:p>
    <w:p w14:paraId="3DFA5FCE" w14:textId="4F49D8A7" w:rsidR="002E7A9B" w:rsidRPr="00F21DE8" w:rsidRDefault="002E7A9B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F21DE8">
        <w:rPr>
          <w:rFonts w:cstheme="minorHAnsi"/>
          <w:noProof/>
          <w:sz w:val="24"/>
          <w:szCs w:val="24"/>
          <w:lang w:val="de-AT"/>
        </w:rPr>
        <w:t xml:space="preserve"> </w:t>
      </w:r>
      <w:r>
        <w:rPr>
          <w:rFonts w:cstheme="minorHAnsi"/>
          <w:noProof/>
          <w:sz w:val="24"/>
          <w:szCs w:val="24"/>
          <w:lang w:val="de-AT"/>
        </w:rPr>
        <w:t>LC</w:t>
      </w:r>
    </w:p>
    <w:p w14:paraId="493A2605" w14:textId="77777777" w:rsidR="002E7A9B" w:rsidRPr="00F21DE8" w:rsidRDefault="002E7A9B" w:rsidP="002E7A9B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37" w:tblpY="127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0143AE" w:rsidRPr="00FF6DEB" w14:paraId="77F5BB73" w14:textId="77777777" w:rsidTr="00C051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C6A9" w14:textId="77777777" w:rsidR="000143AE" w:rsidRPr="00FF6DEB" w:rsidRDefault="000143AE" w:rsidP="00C05101">
            <w:pPr>
              <w:rPr>
                <w:rFonts w:cstheme="minorHAnsi"/>
                <w:sz w:val="24"/>
                <w:szCs w:val="24"/>
              </w:rPr>
            </w:pPr>
            <w:r w:rsidRPr="00FF6DEB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D2041" w14:textId="77777777" w:rsidR="000143AE" w:rsidRPr="00FF6DEB" w:rsidRDefault="000143AE" w:rsidP="00C05101">
            <w:pPr>
              <w:rPr>
                <w:rFonts w:cstheme="minorHAnsi"/>
                <w:sz w:val="24"/>
                <w:szCs w:val="24"/>
              </w:rPr>
            </w:pPr>
            <w:r w:rsidRPr="00FF6DEB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35CF" w14:textId="77777777" w:rsidR="000143AE" w:rsidRPr="00FF6DEB" w:rsidRDefault="000143AE" w:rsidP="00C05101">
            <w:pPr>
              <w:rPr>
                <w:rFonts w:cstheme="minorHAnsi"/>
                <w:sz w:val="24"/>
                <w:szCs w:val="24"/>
              </w:rPr>
            </w:pPr>
            <w:r w:rsidRPr="00FF6DEB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F1A9" w14:textId="77777777" w:rsidR="000143AE" w:rsidRPr="00FF6DEB" w:rsidRDefault="000143AE" w:rsidP="00C05101">
            <w:pPr>
              <w:rPr>
                <w:rFonts w:cstheme="minorHAnsi"/>
                <w:sz w:val="24"/>
                <w:szCs w:val="24"/>
              </w:rPr>
            </w:pPr>
            <w:r w:rsidRPr="00FF6DEB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A15B" w14:textId="77777777" w:rsidR="000143AE" w:rsidRPr="00FF6DEB" w:rsidRDefault="000143AE" w:rsidP="00C05101">
            <w:pPr>
              <w:rPr>
                <w:rFonts w:cstheme="minorHAnsi"/>
                <w:sz w:val="24"/>
                <w:szCs w:val="24"/>
              </w:rPr>
            </w:pPr>
            <w:r w:rsidRPr="00FF6DEB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0C68" w14:textId="77777777" w:rsidR="000143AE" w:rsidRPr="00FF6DEB" w:rsidRDefault="000143AE" w:rsidP="00C05101">
            <w:pPr>
              <w:rPr>
                <w:rFonts w:cstheme="minorHAnsi"/>
                <w:sz w:val="24"/>
                <w:szCs w:val="24"/>
              </w:rPr>
            </w:pPr>
            <w:r w:rsidRPr="00FF6DEB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BE48" w14:textId="77777777" w:rsidR="000143AE" w:rsidRPr="00FF6DEB" w:rsidRDefault="000143AE" w:rsidP="00C05101">
            <w:pPr>
              <w:rPr>
                <w:rFonts w:cstheme="minorHAnsi"/>
                <w:sz w:val="24"/>
                <w:szCs w:val="24"/>
              </w:rPr>
            </w:pPr>
            <w:r w:rsidRPr="00FF6DEB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0143AE" w:rsidRPr="00FF6DEB" w14:paraId="4942BCD8" w14:textId="77777777" w:rsidTr="00C051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52F2D" w14:textId="77777777" w:rsidR="000143AE" w:rsidRPr="00FF6DEB" w:rsidRDefault="000143AE" w:rsidP="00C05101">
            <w:pPr>
              <w:rPr>
                <w:rFonts w:cstheme="minorHAnsi"/>
                <w:sz w:val="24"/>
                <w:szCs w:val="24"/>
              </w:rPr>
            </w:pPr>
            <w:r w:rsidRPr="00FF6DE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FA9B1" w14:textId="77777777" w:rsidR="000143AE" w:rsidRPr="00FF6DEB" w:rsidRDefault="000143AE" w:rsidP="00C05101">
            <w:pPr>
              <w:rPr>
                <w:rFonts w:cstheme="minorHAnsi"/>
                <w:sz w:val="24"/>
                <w:szCs w:val="24"/>
              </w:rPr>
            </w:pPr>
            <w:r w:rsidRPr="00FF6DEB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DA4B3" w14:textId="77777777" w:rsidR="000143AE" w:rsidRPr="00FF6DEB" w:rsidRDefault="000143AE" w:rsidP="00C05101">
            <w:pPr>
              <w:rPr>
                <w:rFonts w:cstheme="minorHAnsi"/>
                <w:sz w:val="24"/>
                <w:szCs w:val="24"/>
              </w:rPr>
            </w:pPr>
            <w:r w:rsidRPr="00FF6DEB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41FC1" w14:textId="77777777" w:rsidR="000143AE" w:rsidRPr="00FF6DEB" w:rsidRDefault="000143AE" w:rsidP="00C05101">
            <w:pPr>
              <w:rPr>
                <w:rFonts w:cstheme="minorHAnsi"/>
                <w:sz w:val="24"/>
                <w:szCs w:val="24"/>
              </w:rPr>
            </w:pPr>
            <w:r w:rsidRPr="00FF6DE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2CF7C" w14:textId="77777777" w:rsidR="000143AE" w:rsidRPr="00FF6DEB" w:rsidRDefault="000143AE" w:rsidP="00C05101">
            <w:pPr>
              <w:rPr>
                <w:rFonts w:cstheme="minorHAnsi"/>
                <w:sz w:val="24"/>
                <w:szCs w:val="24"/>
              </w:rPr>
            </w:pPr>
            <w:r w:rsidRPr="00FF6DE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E8D82" w14:textId="77777777" w:rsidR="000143AE" w:rsidRPr="00FF6DEB" w:rsidRDefault="000143AE" w:rsidP="00C05101">
            <w:pPr>
              <w:rPr>
                <w:rFonts w:cstheme="minorHAnsi"/>
                <w:sz w:val="24"/>
                <w:szCs w:val="24"/>
              </w:rPr>
            </w:pPr>
            <w:r w:rsidRPr="00FF6DE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7650" w14:textId="77777777" w:rsidR="000143AE" w:rsidRPr="00FF6DEB" w:rsidRDefault="000143AE" w:rsidP="00C05101">
            <w:pPr>
              <w:rPr>
                <w:rFonts w:cstheme="minorHAnsi"/>
                <w:sz w:val="24"/>
                <w:szCs w:val="24"/>
              </w:rPr>
            </w:pPr>
            <w:r w:rsidRPr="00FF6DEB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092E2D5C" w14:textId="77777777" w:rsidR="00AD2184" w:rsidRPr="00FF6DEB" w:rsidRDefault="00AD2184" w:rsidP="00835EC8">
      <w:pPr>
        <w:rPr>
          <w:rFonts w:cstheme="minorHAnsi"/>
          <w:b/>
          <w:sz w:val="24"/>
          <w:szCs w:val="24"/>
        </w:rPr>
      </w:pPr>
    </w:p>
    <w:p w14:paraId="367FE649" w14:textId="584FD1BD" w:rsidR="000143AE" w:rsidRPr="00FF6DEB" w:rsidRDefault="009551C8" w:rsidP="00835EC8">
      <w:pPr>
        <w:rPr>
          <w:rFonts w:cstheme="minorHAnsi"/>
          <w:b/>
        </w:rPr>
      </w:pPr>
      <w:r w:rsidRPr="00FF6DEB">
        <w:rPr>
          <w:rFonts w:cstheme="minorHAnsi"/>
          <w:b/>
          <w:sz w:val="24"/>
          <w:szCs w:val="24"/>
        </w:rPr>
        <w:t xml:space="preserve">Zeigerwerte: </w:t>
      </w:r>
    </w:p>
    <w:p w14:paraId="00337913" w14:textId="0F367053" w:rsidR="009551C8" w:rsidRPr="009551C8" w:rsidRDefault="009551C8" w:rsidP="00204F9C">
      <w:pPr>
        <w:jc w:val="both"/>
        <w:rPr>
          <w:b/>
        </w:rPr>
      </w:pPr>
    </w:p>
    <w:sectPr w:rsidR="009551C8" w:rsidRPr="009551C8" w:rsidSect="004B1853">
      <w:headerReference w:type="default" r:id="rId10"/>
      <w:footerReference w:type="default" r:id="rId11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FDBDD" w14:textId="77777777" w:rsidR="004B1853" w:rsidRDefault="004B1853" w:rsidP="00671E08">
      <w:pPr>
        <w:spacing w:after="0" w:line="240" w:lineRule="auto"/>
      </w:pPr>
      <w:r>
        <w:separator/>
      </w:r>
    </w:p>
  </w:endnote>
  <w:endnote w:type="continuationSeparator" w:id="0">
    <w:p w14:paraId="11679CCE" w14:textId="77777777" w:rsidR="004B1853" w:rsidRDefault="004B1853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9B2EC" w14:textId="77777777" w:rsidR="00FF6DEB" w:rsidRPr="009F1BF4" w:rsidRDefault="00FF6DEB" w:rsidP="00FF6DEB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7921F0EE" w14:textId="77777777" w:rsidR="00FF6DEB" w:rsidRPr="009F1BF4" w:rsidRDefault="00FF6DEB" w:rsidP="00FF6DEB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0E5A50E9" w14:textId="27B27D65" w:rsidR="00FF6DEB" w:rsidRDefault="00FF6DEB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FBDF3" w14:textId="77777777" w:rsidR="004B1853" w:rsidRDefault="004B1853" w:rsidP="00671E08">
      <w:pPr>
        <w:spacing w:after="0" w:line="240" w:lineRule="auto"/>
      </w:pPr>
      <w:r>
        <w:separator/>
      </w:r>
    </w:p>
  </w:footnote>
  <w:footnote w:type="continuationSeparator" w:id="0">
    <w:p w14:paraId="7CA26041" w14:textId="77777777" w:rsidR="004B1853" w:rsidRDefault="004B1853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709BF16F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43AE"/>
    <w:rsid w:val="00016D2E"/>
    <w:rsid w:val="00023483"/>
    <w:rsid w:val="00076104"/>
    <w:rsid w:val="000D4792"/>
    <w:rsid w:val="000F72CE"/>
    <w:rsid w:val="0020423A"/>
    <w:rsid w:val="00204F9C"/>
    <w:rsid w:val="002127CD"/>
    <w:rsid w:val="002459D8"/>
    <w:rsid w:val="00277DC0"/>
    <w:rsid w:val="002E7A9B"/>
    <w:rsid w:val="00323AF6"/>
    <w:rsid w:val="00390C5A"/>
    <w:rsid w:val="003E656D"/>
    <w:rsid w:val="00457BE3"/>
    <w:rsid w:val="0047300E"/>
    <w:rsid w:val="004B1853"/>
    <w:rsid w:val="005837D2"/>
    <w:rsid w:val="00594A1B"/>
    <w:rsid w:val="006078DF"/>
    <w:rsid w:val="0061247C"/>
    <w:rsid w:val="0065546A"/>
    <w:rsid w:val="00671E08"/>
    <w:rsid w:val="006D3983"/>
    <w:rsid w:val="006E3288"/>
    <w:rsid w:val="007003FD"/>
    <w:rsid w:val="00780689"/>
    <w:rsid w:val="007B3EE2"/>
    <w:rsid w:val="007F62ED"/>
    <w:rsid w:val="008311FB"/>
    <w:rsid w:val="008357B2"/>
    <w:rsid w:val="00835EC8"/>
    <w:rsid w:val="00842138"/>
    <w:rsid w:val="00882E34"/>
    <w:rsid w:val="00933FB4"/>
    <w:rsid w:val="009551C8"/>
    <w:rsid w:val="009856B6"/>
    <w:rsid w:val="009952C0"/>
    <w:rsid w:val="00A400A3"/>
    <w:rsid w:val="00A43A78"/>
    <w:rsid w:val="00AC64DD"/>
    <w:rsid w:val="00AD2184"/>
    <w:rsid w:val="00B5754B"/>
    <w:rsid w:val="00B61D4B"/>
    <w:rsid w:val="00BA43CB"/>
    <w:rsid w:val="00BD5B18"/>
    <w:rsid w:val="00BF7DCB"/>
    <w:rsid w:val="00C05101"/>
    <w:rsid w:val="00C10A8E"/>
    <w:rsid w:val="00C26A1D"/>
    <w:rsid w:val="00CF6E2A"/>
    <w:rsid w:val="00D34BB3"/>
    <w:rsid w:val="00D55BD0"/>
    <w:rsid w:val="00D7150D"/>
    <w:rsid w:val="00DC3290"/>
    <w:rsid w:val="00DE2C63"/>
    <w:rsid w:val="00E00EE7"/>
    <w:rsid w:val="00E207F5"/>
    <w:rsid w:val="00EA3B5D"/>
    <w:rsid w:val="00EE5D75"/>
    <w:rsid w:val="00F94FDD"/>
    <w:rsid w:val="00F964FD"/>
    <w:rsid w:val="00FE52BA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9551C8"/>
    <w:pPr>
      <w:spacing w:after="0" w:line="240" w:lineRule="auto"/>
    </w:pPr>
    <w:rPr>
      <w:rFonts w:asciiTheme="minorHAnsi" w:hAnsiTheme="minorHAnsi" w:cstheme="minorBid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47</cp:revision>
  <dcterms:created xsi:type="dcterms:W3CDTF">2023-08-10T06:36:00Z</dcterms:created>
  <dcterms:modified xsi:type="dcterms:W3CDTF">2024-10-23T13:32:00Z</dcterms:modified>
</cp:coreProperties>
</file>