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14:paraId="031C70DA" w14:textId="77777777" w:rsidTr="00E16BE4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14:paraId="664B1311" w14:textId="77777777" w:rsidR="00406AA9" w:rsidRDefault="00406AA9" w:rsidP="00E16BE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14:paraId="692753FB" w14:textId="77777777" w:rsidR="00406AA9" w:rsidRDefault="00406AA9" w:rsidP="00E16BE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24CDB81A" w14:textId="77777777" w:rsidR="00406AA9" w:rsidRDefault="00406AA9" w:rsidP="00E16BE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14:paraId="4C4FF42B" w14:textId="77777777" w:rsidTr="00E16BE4">
        <w:tc>
          <w:tcPr>
            <w:tcW w:w="6120" w:type="dxa"/>
            <w:tcBorders>
              <w:top w:val="single" w:sz="4" w:space="0" w:color="auto"/>
            </w:tcBorders>
          </w:tcPr>
          <w:p w14:paraId="7521FF88" w14:textId="77777777" w:rsidR="00406AA9" w:rsidRDefault="00406AA9" w:rsidP="00E16BE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14:paraId="34550849" w14:textId="77777777" w:rsidR="00406AA9" w:rsidRDefault="00406AA9" w:rsidP="00E16BE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D2B9716" w14:textId="77777777" w:rsidR="00406AA9" w:rsidRDefault="00406AA9" w:rsidP="00E16BE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14:paraId="3256F2E8" w14:textId="77777777"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14:paraId="4CB18D97" w14:textId="77777777"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E16BE4">
        <w:t>PhD Social and Political Sciences (Doktorats</w:t>
      </w:r>
      <w:r w:rsidR="00A6222C">
        <w:t>studium</w:t>
      </w:r>
      <w:r w:rsidR="00334C7F">
        <w:t xml:space="preserve"> Soziale und politische Wissenschaften)</w:t>
      </w:r>
      <w:r w:rsidR="00E16BE4">
        <w:t xml:space="preserve"> </w:t>
      </w:r>
      <w:r w:rsidR="003714E3">
        <w:t xml:space="preserve">an </w:t>
      </w:r>
      <w:r w:rsidR="001E3FF1">
        <w:t>der</w:t>
      </w:r>
      <w:r w:rsidRPr="00A32741">
        <w:t xml:space="preserve"> </w:t>
      </w:r>
      <w:r w:rsidR="008D3B20">
        <w:t>Fakultät</w:t>
      </w:r>
      <w:r w:rsidR="00A852C7">
        <w:t xml:space="preserve"> für </w:t>
      </w:r>
      <w:r w:rsidR="00334C7F">
        <w:t xml:space="preserve">Soziale und Politische Wissenschaften 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334C7F">
        <w:t>29</w:t>
      </w:r>
      <w:r w:rsidR="003714E3">
        <w:t>.</w:t>
      </w:r>
      <w:r w:rsidR="00334C7F">
        <w:t>01.2025, 25. Stück, Nr. 319</w:t>
      </w:r>
      <w:r w:rsidR="00DE7DC8">
        <w:t>)</w:t>
      </w:r>
    </w:p>
    <w:p w14:paraId="5291B57E" w14:textId="77777777"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3F000C" w:rsidRPr="00FA2174" w14:paraId="799E427B" w14:textId="77777777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14:paraId="3AEC823C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1E4CFB03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14:paraId="0A4652F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46E8D1E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6CC84E8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5B7A3856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gridSpan w:val="2"/>
            <w:vMerge w:val="restart"/>
          </w:tcPr>
          <w:p w14:paraId="7AD00F3C" w14:textId="77777777"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14:paraId="1AE5626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6CFC57E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14:paraId="27C49D3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3CCF5936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14:paraId="0F8DF8E1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47696F08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14:paraId="32D5539C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14:paraId="3CF5490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8FEBA8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14:paraId="4F47917B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07A508D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15185F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2AF63496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54918B88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6EA2B84B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14:paraId="738517E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3F38A2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14:paraId="4108F1A2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0F2AB56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47E43A6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0C653270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424C2CF1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812" w:type="dxa"/>
            <w:shd w:val="clear" w:color="auto" w:fill="E6E6E6"/>
            <w:vAlign w:val="center"/>
          </w:tcPr>
          <w:p w14:paraId="7F64FA34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14:paraId="5FDFA93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26C1E8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14:paraId="28DB7EE1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079F37D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22CD14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5F458B04" w14:textId="77777777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214CBB86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7C2BD11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24DC0504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27B91F6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3F6129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  <w:tcBorders>
              <w:bottom w:val="single" w:sz="4" w:space="0" w:color="auto"/>
            </w:tcBorders>
          </w:tcPr>
          <w:p w14:paraId="1234D39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0FA6DD3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F80E7B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615F2E" w:rsidRPr="00DE302D" w14:paraId="2A6F04CB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09F2F781" w14:textId="77777777"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90DBFF8" w14:textId="77777777"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F8A5819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69628A1A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458EB2E" w14:textId="77777777" w:rsidR="00615F2E" w:rsidRPr="00501F6C" w:rsidRDefault="00256D83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501F6C">
              <w:rPr>
                <w:b/>
              </w:rPr>
              <w:t>Pflichtmodul: Wissenschaftliche Kommunikation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242EE1E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CB5EDC2" w14:textId="77777777" w:rsidR="00615F2E" w:rsidRPr="00501F6C" w:rsidRDefault="00334C7F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1F6C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2111B6" w:rsidRPr="00DE302D" w14:paraId="04E9E959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017A702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6EA13D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2C6CC3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5566E2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B142" w14:textId="77777777" w:rsidR="002111B6" w:rsidRPr="00FB5B95" w:rsidRDefault="00256D83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Wissenschaftliche Kommunikation (Going Public)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3EA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BA46" w14:textId="77777777" w:rsidR="002111B6" w:rsidRDefault="00334C7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D4E8F" w:rsidRPr="00DE302D" w14:paraId="6E52969D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14:paraId="1CA9AD9D" w14:textId="77777777"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34760EF1" w14:textId="77777777"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30280227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09E75A67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B83D8CB" w14:textId="77777777" w:rsidR="006D4E8F" w:rsidRPr="0072742E" w:rsidRDefault="00501F6C" w:rsidP="00BD2293">
            <w:pPr>
              <w:spacing w:before="60" w:after="60"/>
              <w:ind w:left="5"/>
              <w:jc w:val="left"/>
              <w:rPr>
                <w:b/>
              </w:rPr>
            </w:pPr>
            <w:r w:rsidRPr="0072742E">
              <w:rPr>
                <w:b/>
              </w:rPr>
              <w:t>Wahlmodul: Wissenschaftliches Schreiben und Präsentieren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20A023" w14:textId="77777777" w:rsidR="006D4E8F" w:rsidRPr="0072742E" w:rsidRDefault="00334C7F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2742E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AAC47FD" w14:textId="77777777" w:rsidR="006D4E8F" w:rsidRPr="0072742E" w:rsidRDefault="00334C7F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2742E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6D4E8F" w:rsidRPr="00DE302D" w14:paraId="21566F6A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7168FFD7" w14:textId="77777777"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642BD037" w14:textId="77777777"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7FDFCA95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476BB8F4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AA3482E" w14:textId="77777777" w:rsidR="006D4E8F" w:rsidRPr="00D81D74" w:rsidRDefault="00501F6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Wissenschaftliches Schreiben und Präsentieren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14B087" w14:textId="77777777" w:rsidR="008E7A02" w:rsidRDefault="00334C7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C4FE23" w14:textId="77777777" w:rsidR="008E7A02" w:rsidRDefault="00334C7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D672B" w:rsidRPr="00DE302D" w14:paraId="4028043E" w14:textId="77777777" w:rsidTr="00B574E4">
        <w:trPr>
          <w:trHeight w:val="510"/>
        </w:trPr>
        <w:tc>
          <w:tcPr>
            <w:tcW w:w="846" w:type="dxa"/>
            <w:vMerge w:val="restart"/>
          </w:tcPr>
          <w:p w14:paraId="0BFD022A" w14:textId="77777777"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0448B1C5" w14:textId="77777777"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73D881FE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53FFECA7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1C26946B" w14:textId="77777777" w:rsidR="00FD672B" w:rsidRPr="0072742E" w:rsidRDefault="00501F6C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72742E">
              <w:rPr>
                <w:b/>
              </w:rPr>
              <w:t>Wahlmodul: Wissenschaftskommunikation und Open Science</w:t>
            </w:r>
          </w:p>
        </w:tc>
        <w:tc>
          <w:tcPr>
            <w:tcW w:w="709" w:type="dxa"/>
          </w:tcPr>
          <w:p w14:paraId="0F1886DE" w14:textId="77777777" w:rsidR="00FD672B" w:rsidRPr="0072742E" w:rsidRDefault="00334C7F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2742E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AFABCC1" w14:textId="77777777" w:rsidR="00FD672B" w:rsidRPr="0072742E" w:rsidRDefault="00334C7F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2742E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14:paraId="641613C3" w14:textId="77777777" w:rsidTr="005F07DA">
        <w:trPr>
          <w:trHeight w:val="510"/>
        </w:trPr>
        <w:tc>
          <w:tcPr>
            <w:tcW w:w="846" w:type="dxa"/>
            <w:vMerge/>
          </w:tcPr>
          <w:p w14:paraId="5A3786FA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421777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8AE042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CA2E5F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F005" w14:textId="77777777" w:rsidR="002111B6" w:rsidRPr="00FB5B95" w:rsidRDefault="00501F6C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Wissenschaftskommunikation und Open Science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ACE2" w14:textId="77777777" w:rsidR="002111B6" w:rsidRDefault="00334C7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355D" w14:textId="77777777" w:rsidR="002111B6" w:rsidRDefault="00334C7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F1EF1" w:rsidRPr="00DE302D" w14:paraId="287D3289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E011E05" w14:textId="77777777" w:rsidR="00EF1EF1" w:rsidRPr="007A3421" w:rsidRDefault="00EF1EF1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BE97B29" w14:textId="77777777"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726A976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013FFE58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F0D2DB8" w14:textId="77777777" w:rsidR="00EF1EF1" w:rsidRPr="0072742E" w:rsidRDefault="00501F6C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72742E">
              <w:rPr>
                <w:b/>
              </w:rPr>
              <w:t>Wahlmodul: Qualitative Forschungsmethoden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79FA4B8" w14:textId="77777777" w:rsidR="00EF1EF1" w:rsidRPr="0072742E" w:rsidRDefault="00334C7F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2742E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27EE0A7" w14:textId="77777777" w:rsidR="00EF1EF1" w:rsidRPr="0072742E" w:rsidRDefault="00334C7F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2742E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14:paraId="22F5BE58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6087504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7E0855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12A05D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9ED073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9C41" w14:textId="77777777" w:rsidR="002111B6" w:rsidRPr="00FB5B95" w:rsidRDefault="00501F6C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Qualitative Forschungsmethoden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203D" w14:textId="77777777" w:rsidR="002111B6" w:rsidRDefault="00334C7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8798" w14:textId="77777777" w:rsidR="002111B6" w:rsidRDefault="00334C7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F1EF1" w:rsidRPr="00DE302D" w14:paraId="602E0CB0" w14:textId="77777777" w:rsidTr="00B574E4">
        <w:trPr>
          <w:trHeight w:val="510"/>
        </w:trPr>
        <w:tc>
          <w:tcPr>
            <w:tcW w:w="846" w:type="dxa"/>
            <w:vMerge w:val="restart"/>
          </w:tcPr>
          <w:p w14:paraId="4893EDA4" w14:textId="77777777"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6E1084D7" w14:textId="77777777"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0AC52B43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14:paraId="49196642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6E74BF4D" w14:textId="77777777" w:rsidR="00EF1EF1" w:rsidRPr="0072742E" w:rsidRDefault="00501F6C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72742E">
              <w:rPr>
                <w:b/>
              </w:rPr>
              <w:t>Wahlmodul: Quantitative Forschungsmethoden</w:t>
            </w:r>
          </w:p>
        </w:tc>
        <w:tc>
          <w:tcPr>
            <w:tcW w:w="709" w:type="dxa"/>
          </w:tcPr>
          <w:p w14:paraId="0FDBD833" w14:textId="77777777" w:rsidR="00EF1EF1" w:rsidRPr="0072742E" w:rsidRDefault="00334C7F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2742E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0001CD4F" w14:textId="77777777" w:rsidR="00EF1EF1" w:rsidRPr="0072742E" w:rsidRDefault="00334C7F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2742E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14:paraId="5362989F" w14:textId="77777777" w:rsidTr="005F07DA">
        <w:trPr>
          <w:trHeight w:val="510"/>
        </w:trPr>
        <w:tc>
          <w:tcPr>
            <w:tcW w:w="846" w:type="dxa"/>
            <w:vMerge/>
          </w:tcPr>
          <w:p w14:paraId="61A9B698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CEDA2F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95054F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F95F12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184C" w14:textId="77777777" w:rsidR="002111B6" w:rsidRPr="00FB5B95" w:rsidRDefault="00501F6C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SE Quantitative Forschungsmethoden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DE85" w14:textId="77777777" w:rsidR="002111B6" w:rsidRDefault="00334C7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7606" w14:textId="77777777" w:rsidR="002111B6" w:rsidRDefault="00334C7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14:paraId="4500BC20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088600CE" w14:textId="77777777"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7D987AD" w14:textId="77777777"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F36AB1A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3F4EC136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4B571A5F" w14:textId="77777777" w:rsidR="001655FF" w:rsidRPr="00CE093A" w:rsidRDefault="00CE093A" w:rsidP="00A87D9C">
            <w:pPr>
              <w:spacing w:before="60" w:after="60"/>
              <w:ind w:left="5"/>
              <w:jc w:val="left"/>
              <w:rPr>
                <w:b/>
              </w:rPr>
            </w:pPr>
            <w:r w:rsidRPr="00CE093A">
              <w:rPr>
                <w:b/>
              </w:rPr>
              <w:t>Wahlmodul: Vertiefende Forschungsmethoden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79B7B9C" w14:textId="77777777" w:rsidR="001655FF" w:rsidRPr="00CE093A" w:rsidRDefault="00CE093A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E093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2E20C5A" w14:textId="77777777" w:rsidR="001655FF" w:rsidRPr="00CE093A" w:rsidRDefault="00CE093A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E093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14:paraId="32C544F3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83DF2E3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9BD173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BEDA3A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C6DEC6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4DF0" w14:textId="77777777" w:rsidR="002111B6" w:rsidRPr="00FB5B95" w:rsidRDefault="00CE093A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Vertiefende Forschungsmethoden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BB56" w14:textId="77777777" w:rsidR="002111B6" w:rsidRDefault="00CE093A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D990" w14:textId="77777777" w:rsidR="002111B6" w:rsidRDefault="00CE093A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44285" w:rsidRPr="007A3421" w14:paraId="2A53C34E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4F2FDBC" w14:textId="77777777"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08FCFEE0" w14:textId="77777777"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CCA883A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30D90365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06409F1" w14:textId="77777777" w:rsidR="00744285" w:rsidRPr="00CE093A" w:rsidRDefault="00CE093A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CE093A">
              <w:rPr>
                <w:b/>
              </w:rPr>
              <w:t>Wahlmodul: Fachbezogenes Forschungsseminar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8DE2AA1" w14:textId="77777777" w:rsidR="00744285" w:rsidRPr="00CE093A" w:rsidRDefault="00CE093A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E093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E1658A7" w14:textId="77777777" w:rsidR="00744285" w:rsidRPr="00CE093A" w:rsidRDefault="00CE093A" w:rsidP="00E55AB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E093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96239" w:rsidRPr="007A3421" w14:paraId="5FF39578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A78497F" w14:textId="77777777"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A875E3" w14:textId="77777777"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BF5CC2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564968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E6D5" w14:textId="77777777" w:rsidR="00296239" w:rsidRPr="00CE093A" w:rsidRDefault="00CE093A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Fachbezogenes Forschungsseminar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613A" w14:textId="77777777" w:rsidR="00296239" w:rsidRDefault="00CE093A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E4D5" w14:textId="77777777" w:rsidR="00296239" w:rsidRDefault="00CE093A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44A63" w:rsidRPr="007A3421" w14:paraId="19D87EC1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1EBA117C" w14:textId="77777777"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33D834F" w14:textId="77777777"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9E34F8E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306FDCF8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4E7CDC87" w14:textId="77777777" w:rsidR="00444A63" w:rsidRPr="00CE093A" w:rsidRDefault="00CE093A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CE093A">
              <w:rPr>
                <w:b/>
              </w:rPr>
              <w:t>Wahlmodul: Generische Kompetenzen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724F6FE" w14:textId="77777777" w:rsidR="00444A63" w:rsidRPr="00CE093A" w:rsidRDefault="00444A63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02440D8" w14:textId="77777777" w:rsidR="00444A63" w:rsidRPr="00CE093A" w:rsidRDefault="00CE093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E093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7290F" w:rsidRPr="007A3421" w14:paraId="6BA998EC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21837540" w14:textId="77777777" w:rsidR="00C7290F" w:rsidRPr="007A3421" w:rsidRDefault="00C7290F" w:rsidP="00C7290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35E87F" w14:textId="77777777" w:rsidR="00C7290F" w:rsidRPr="000B72AE" w:rsidRDefault="00C7290F" w:rsidP="00C7290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253E94" w14:textId="77777777"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DEA9EE" w14:textId="77777777"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D42B" w14:textId="77777777" w:rsidR="00C7290F" w:rsidRPr="00CE093A" w:rsidRDefault="00CE093A" w:rsidP="00C7290F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CE093A">
              <w:rPr>
                <w:i/>
              </w:rPr>
              <w:t>Es sind Leistungen aus dem Lehrangebot Generische Kompetenzen für PhD</w:t>
            </w:r>
            <w:r>
              <w:rPr>
                <w:i/>
              </w:rPr>
              <w:t xml:space="preserve"> </w:t>
            </w:r>
            <w:r w:rsidRPr="00CE093A">
              <w:rPr>
                <w:i/>
              </w:rPr>
              <w:t>und Doktoratsstudien im Umfang von 5 ECTS-AP zu wählen. Es wird empfohlen, Lehrveranstaltungen aus den Bereichen der Förderung der Gender Studies, Frauen- und Geschlechterforschung zu wählen.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651D" w14:textId="77777777"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E2A" w14:textId="77777777" w:rsidR="00C7290F" w:rsidRPr="00CE093A" w:rsidRDefault="00CE093A" w:rsidP="00C7290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E093A">
              <w:rPr>
                <w:rFonts w:cs="Arial"/>
                <w:b/>
                <w:sz w:val="16"/>
                <w:szCs w:val="16"/>
              </w:rPr>
              <w:t>bis zu 5</w:t>
            </w:r>
          </w:p>
        </w:tc>
      </w:tr>
    </w:tbl>
    <w:p w14:paraId="645C8381" w14:textId="77777777"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t>Hinweis</w:t>
      </w:r>
      <w:r>
        <w:rPr>
          <w:sz w:val="21"/>
          <w:szCs w:val="21"/>
        </w:rPr>
        <w:t>: Grau unterlegte Bereiche sind von der Antragstellerin/vom Antragsteller – hinsichtlich der Prüfungen. Deren Anerkennung beantragt wird –auszufüllen.</w:t>
      </w:r>
    </w:p>
    <w:p w14:paraId="4C2DC9BF" w14:textId="77777777" w:rsidR="003B0FCA" w:rsidRDefault="003B0FCA" w:rsidP="003B0FCA">
      <w:pPr>
        <w:rPr>
          <w:sz w:val="21"/>
          <w:szCs w:val="21"/>
        </w:rPr>
      </w:pPr>
    </w:p>
    <w:p w14:paraId="13A19515" w14:textId="77777777" w:rsidR="003F000C" w:rsidRDefault="003F000C" w:rsidP="00BF1543">
      <w:pPr>
        <w:rPr>
          <w:sz w:val="21"/>
          <w:szCs w:val="21"/>
        </w:rPr>
      </w:pPr>
    </w:p>
    <w:p w14:paraId="38E1014C" w14:textId="77777777"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20D073B6" w14:textId="77777777" w:rsidTr="00BE35BD">
        <w:tc>
          <w:tcPr>
            <w:tcW w:w="970" w:type="dxa"/>
            <w:vAlign w:val="center"/>
          </w:tcPr>
          <w:p w14:paraId="2AFBA311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2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12AB9094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680" w:type="dxa"/>
          </w:tcPr>
          <w:p w14:paraId="5AD64997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69D21F2A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D026B05" w14:textId="77777777" w:rsidR="003F000C" w:rsidRDefault="003F000C" w:rsidP="00BF1543">
            <w:pPr>
              <w:spacing w:before="120" w:after="120"/>
            </w:pPr>
          </w:p>
        </w:tc>
      </w:tr>
    </w:tbl>
    <w:p w14:paraId="77F3DF3C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4510329A" w14:textId="77777777" w:rsidTr="00BE35BD">
        <w:tc>
          <w:tcPr>
            <w:tcW w:w="6190" w:type="dxa"/>
          </w:tcPr>
          <w:p w14:paraId="61C803FF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514E2993" w14:textId="77777777" w:rsidR="003F000C" w:rsidRDefault="003F000C" w:rsidP="00BF1543"/>
        </w:tc>
        <w:tc>
          <w:tcPr>
            <w:tcW w:w="6660" w:type="dxa"/>
          </w:tcPr>
          <w:p w14:paraId="3E9DC15F" w14:textId="77777777" w:rsidR="003F000C" w:rsidRDefault="003F000C" w:rsidP="00BF1543">
            <w:r>
              <w:t>genehmigt:</w:t>
            </w:r>
          </w:p>
        </w:tc>
      </w:tr>
      <w:tr w:rsidR="003F000C" w14:paraId="5C754EB0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197216AA" w14:textId="77777777" w:rsidR="003F000C" w:rsidRDefault="003F000C" w:rsidP="00BF1543"/>
          <w:p w14:paraId="48DC2DA2" w14:textId="77777777" w:rsidR="003F000C" w:rsidRDefault="003F000C" w:rsidP="00BF1543"/>
          <w:p w14:paraId="41CF6A55" w14:textId="77777777" w:rsidR="003F000C" w:rsidRDefault="003F000C" w:rsidP="00BF1543"/>
          <w:p w14:paraId="4D2F077C" w14:textId="77777777" w:rsidR="003F000C" w:rsidRDefault="003F000C" w:rsidP="00BF1543"/>
        </w:tc>
        <w:tc>
          <w:tcPr>
            <w:tcW w:w="2700" w:type="dxa"/>
          </w:tcPr>
          <w:p w14:paraId="203EFA43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2B13AA7E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2C80688F" w14:textId="77777777" w:rsidR="003F000C" w:rsidRDefault="003F000C" w:rsidP="00355756">
            <w:pPr>
              <w:jc w:val="center"/>
            </w:pPr>
          </w:p>
          <w:p w14:paraId="5538060C" w14:textId="77777777" w:rsidR="003F000C" w:rsidRDefault="003F000C" w:rsidP="00355756">
            <w:pPr>
              <w:jc w:val="center"/>
            </w:pPr>
          </w:p>
          <w:p w14:paraId="614CDADE" w14:textId="77777777" w:rsidR="003F000C" w:rsidRDefault="003F000C" w:rsidP="00355756">
            <w:pPr>
              <w:jc w:val="center"/>
            </w:pPr>
          </w:p>
        </w:tc>
      </w:tr>
      <w:tr w:rsidR="003F000C" w:rsidRPr="009B424C" w14:paraId="4572FEF9" w14:textId="77777777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14:paraId="1B58A030" w14:textId="77777777" w:rsidR="003F000C" w:rsidRDefault="003F000C" w:rsidP="00BF1543"/>
        </w:tc>
        <w:tc>
          <w:tcPr>
            <w:tcW w:w="2700" w:type="dxa"/>
          </w:tcPr>
          <w:p w14:paraId="32061AA5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F38F12D" w14:textId="77777777" w:rsidR="003F000C" w:rsidRDefault="00B41376" w:rsidP="009B424C">
            <w:pPr>
              <w:jc w:val="center"/>
            </w:pPr>
            <w:r>
              <w:t>assoz. Prof. Mag. Dr. Franz Eder</w:t>
            </w:r>
          </w:p>
          <w:p w14:paraId="36891EE5" w14:textId="77777777" w:rsidR="0017020C" w:rsidRPr="009B424C" w:rsidRDefault="0017020C" w:rsidP="009B424C">
            <w:pPr>
              <w:jc w:val="center"/>
            </w:pPr>
          </w:p>
        </w:tc>
      </w:tr>
    </w:tbl>
    <w:p w14:paraId="67AC70BE" w14:textId="77777777" w:rsidR="003F000C" w:rsidRPr="009B424C" w:rsidRDefault="003F000C" w:rsidP="00BF1543">
      <w:pPr>
        <w:rPr>
          <w:sz w:val="20"/>
          <w:szCs w:val="20"/>
        </w:rPr>
      </w:pPr>
    </w:p>
    <w:sectPr w:rsidR="003F000C" w:rsidRPr="009B424C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54CCD" w14:textId="77777777" w:rsidR="00E16BE4" w:rsidRDefault="00E16BE4">
      <w:r>
        <w:separator/>
      </w:r>
    </w:p>
  </w:endnote>
  <w:endnote w:type="continuationSeparator" w:id="0">
    <w:p w14:paraId="261AE52E" w14:textId="77777777" w:rsidR="00E16BE4" w:rsidRDefault="00E1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E2481" w14:textId="77777777" w:rsidR="00E16BE4" w:rsidRDefault="00E16BE4">
      <w:r>
        <w:separator/>
      </w:r>
    </w:p>
  </w:footnote>
  <w:footnote w:type="continuationSeparator" w:id="0">
    <w:p w14:paraId="46B4AE4D" w14:textId="77777777" w:rsidR="00E16BE4" w:rsidRDefault="00E16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E16BE4" w:rsidRPr="00BA3FC2" w14:paraId="7D49940B" w14:textId="77777777" w:rsidTr="001E0E69">
      <w:trPr>
        <w:trHeight w:val="284"/>
      </w:trPr>
      <w:tc>
        <w:tcPr>
          <w:tcW w:w="15933" w:type="dxa"/>
        </w:tcPr>
        <w:p w14:paraId="7F6914A2" w14:textId="77777777" w:rsidR="00E16BE4" w:rsidRPr="00E16BE4" w:rsidRDefault="00E16BE4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  <w:lang w:val="en-US"/>
            </w:rPr>
          </w:pPr>
          <w:proofErr w:type="gramStart"/>
          <w:r w:rsidRPr="00E16BE4">
            <w:rPr>
              <w:lang w:val="en-US"/>
            </w:rPr>
            <w:t>Beiblatt  PhD</w:t>
          </w:r>
          <w:proofErr w:type="gramEnd"/>
          <w:r w:rsidRPr="00E16BE4">
            <w:rPr>
              <w:lang w:val="en-US"/>
            </w:rPr>
            <w:t xml:space="preserve"> Social and </w:t>
          </w:r>
          <w:r>
            <w:rPr>
              <w:lang w:val="en-US"/>
            </w:rPr>
            <w:t xml:space="preserve">Political Sciences </w:t>
          </w:r>
          <w:r w:rsidRPr="00E16BE4">
            <w:rPr>
              <w:lang w:val="en-US"/>
            </w:rPr>
            <w:t>(Curriculum</w:t>
          </w:r>
          <w:r>
            <w:rPr>
              <w:lang w:val="en-US"/>
            </w:rPr>
            <w:t xml:space="preserve"> 2025</w:t>
          </w:r>
          <w:r w:rsidRPr="00E16BE4">
            <w:rPr>
              <w:lang w:val="en-US"/>
            </w:rPr>
            <w:t xml:space="preserve">)                                                                                                          </w:t>
          </w:r>
          <w:r w:rsidR="00AD5466">
            <w:rPr>
              <w:rStyle w:val="Seitenzahl"/>
              <w:b/>
              <w:lang w:val="en-US"/>
            </w:rPr>
            <w:t>ab 01.10.2025</w:t>
          </w:r>
          <w:r w:rsidRPr="00E16BE4">
            <w:rPr>
              <w:rStyle w:val="Seitenzahl"/>
              <w:b/>
              <w:lang w:val="en-US"/>
            </w:rPr>
            <w:t xml:space="preserve">                                                                        </w:t>
          </w:r>
          <w:r>
            <w:rPr>
              <w:rStyle w:val="Seitenzahl"/>
            </w:rPr>
            <w:fldChar w:fldCharType="begin"/>
          </w:r>
          <w:r w:rsidRPr="00E16BE4">
            <w:rPr>
              <w:rStyle w:val="Seitenzahl"/>
              <w:lang w:val="en-US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163235">
            <w:rPr>
              <w:rStyle w:val="Seitenzahl"/>
              <w:noProof/>
              <w:lang w:val="en-US"/>
            </w:rPr>
            <w:t>1</w:t>
          </w:r>
          <w:r>
            <w:rPr>
              <w:rStyle w:val="Seitenzahl"/>
            </w:rPr>
            <w:fldChar w:fldCharType="end"/>
          </w:r>
          <w:r w:rsidRPr="00E16BE4">
            <w:rPr>
              <w:rStyle w:val="Seitenzahl"/>
              <w:lang w:val="en-US"/>
            </w:rPr>
            <w:t xml:space="preserve"> von </w:t>
          </w:r>
          <w:r>
            <w:rPr>
              <w:rStyle w:val="Seitenzahl"/>
            </w:rPr>
            <w:fldChar w:fldCharType="begin"/>
          </w:r>
          <w:r w:rsidRPr="00E16BE4">
            <w:rPr>
              <w:rStyle w:val="Seitenzahl"/>
              <w:lang w:val="en-US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163235">
            <w:rPr>
              <w:rStyle w:val="Seitenzahl"/>
              <w:noProof/>
              <w:lang w:val="en-US"/>
            </w:rPr>
            <w:t>2</w:t>
          </w:r>
          <w:r>
            <w:rPr>
              <w:rStyle w:val="Seitenzahl"/>
            </w:rPr>
            <w:fldChar w:fldCharType="end"/>
          </w:r>
        </w:p>
      </w:tc>
    </w:tr>
  </w:tbl>
  <w:p w14:paraId="0AC15A51" w14:textId="77777777" w:rsidR="00E16BE4" w:rsidRPr="00E16BE4" w:rsidRDefault="00E16BE4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iZHWdOaF/mmxJ0ROVRJDY2o0dfXl47ZFrvoxjTAzD8daA34/m3jTedWCg2/E1VTw6ZGhklOBlL5W2liDsTCXQ==" w:salt="YDj19sex3kwoW640PueFdQ=="/>
  <w:defaultTabStop w:val="709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91F"/>
    <w:rsid w:val="00031FC4"/>
    <w:rsid w:val="00040A0D"/>
    <w:rsid w:val="000416A7"/>
    <w:rsid w:val="00046364"/>
    <w:rsid w:val="00051305"/>
    <w:rsid w:val="00060178"/>
    <w:rsid w:val="00062B3D"/>
    <w:rsid w:val="00064B1A"/>
    <w:rsid w:val="00066BC1"/>
    <w:rsid w:val="000724B6"/>
    <w:rsid w:val="000767FA"/>
    <w:rsid w:val="00080936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3235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350A"/>
    <w:rsid w:val="001C3989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215FD"/>
    <w:rsid w:val="0022460E"/>
    <w:rsid w:val="00230958"/>
    <w:rsid w:val="002425E2"/>
    <w:rsid w:val="00247805"/>
    <w:rsid w:val="00247810"/>
    <w:rsid w:val="00252E8D"/>
    <w:rsid w:val="00256D83"/>
    <w:rsid w:val="002640DA"/>
    <w:rsid w:val="00272918"/>
    <w:rsid w:val="00276B76"/>
    <w:rsid w:val="002777FB"/>
    <w:rsid w:val="0028085C"/>
    <w:rsid w:val="00284CF0"/>
    <w:rsid w:val="0028674C"/>
    <w:rsid w:val="00287EA9"/>
    <w:rsid w:val="00293B06"/>
    <w:rsid w:val="00296239"/>
    <w:rsid w:val="00297A82"/>
    <w:rsid w:val="002A6490"/>
    <w:rsid w:val="002B10FD"/>
    <w:rsid w:val="002B12BE"/>
    <w:rsid w:val="002C1F7A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34C7F"/>
    <w:rsid w:val="00340C25"/>
    <w:rsid w:val="00355756"/>
    <w:rsid w:val="0035605F"/>
    <w:rsid w:val="00362AE9"/>
    <w:rsid w:val="003714E3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B0FCA"/>
    <w:rsid w:val="003B5A70"/>
    <w:rsid w:val="003B7DF9"/>
    <w:rsid w:val="003C0EDA"/>
    <w:rsid w:val="003C518A"/>
    <w:rsid w:val="003D3EBE"/>
    <w:rsid w:val="003E0BDE"/>
    <w:rsid w:val="003E3A33"/>
    <w:rsid w:val="003E799E"/>
    <w:rsid w:val="003F000C"/>
    <w:rsid w:val="003F7BA6"/>
    <w:rsid w:val="00406AA9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32B0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61C7"/>
    <w:rsid w:val="004B27B3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F7589"/>
    <w:rsid w:val="00501F6C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C6D"/>
    <w:rsid w:val="00584CB3"/>
    <w:rsid w:val="005938FA"/>
    <w:rsid w:val="00594489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4508B"/>
    <w:rsid w:val="00661987"/>
    <w:rsid w:val="00661E40"/>
    <w:rsid w:val="006623D4"/>
    <w:rsid w:val="00671F8D"/>
    <w:rsid w:val="00673FB6"/>
    <w:rsid w:val="0067483C"/>
    <w:rsid w:val="00675BD6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64E2"/>
    <w:rsid w:val="00705782"/>
    <w:rsid w:val="00714606"/>
    <w:rsid w:val="00715191"/>
    <w:rsid w:val="00721154"/>
    <w:rsid w:val="00723D0F"/>
    <w:rsid w:val="00726C27"/>
    <w:rsid w:val="0072742E"/>
    <w:rsid w:val="00734DE6"/>
    <w:rsid w:val="00736003"/>
    <w:rsid w:val="0073628A"/>
    <w:rsid w:val="00740A24"/>
    <w:rsid w:val="00741B32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A4D5D"/>
    <w:rsid w:val="007B108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2214D"/>
    <w:rsid w:val="0085290F"/>
    <w:rsid w:val="00854D6C"/>
    <w:rsid w:val="008630AF"/>
    <w:rsid w:val="00865627"/>
    <w:rsid w:val="0086640E"/>
    <w:rsid w:val="0086706B"/>
    <w:rsid w:val="00885A43"/>
    <w:rsid w:val="0089004E"/>
    <w:rsid w:val="0089448E"/>
    <w:rsid w:val="00895263"/>
    <w:rsid w:val="00896CEE"/>
    <w:rsid w:val="008A0F20"/>
    <w:rsid w:val="008A2050"/>
    <w:rsid w:val="008B1BE1"/>
    <w:rsid w:val="008B3241"/>
    <w:rsid w:val="008C0232"/>
    <w:rsid w:val="008C6C01"/>
    <w:rsid w:val="008D2F77"/>
    <w:rsid w:val="008D3B20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179"/>
    <w:rsid w:val="00976A15"/>
    <w:rsid w:val="009813BA"/>
    <w:rsid w:val="00981ACC"/>
    <w:rsid w:val="00986102"/>
    <w:rsid w:val="00994515"/>
    <w:rsid w:val="009A6D8E"/>
    <w:rsid w:val="009B01E7"/>
    <w:rsid w:val="009B424C"/>
    <w:rsid w:val="009B4D52"/>
    <w:rsid w:val="009C548A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52C7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D5466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41376"/>
    <w:rsid w:val="00B459C0"/>
    <w:rsid w:val="00B5032F"/>
    <w:rsid w:val="00B533BE"/>
    <w:rsid w:val="00B574E4"/>
    <w:rsid w:val="00B60087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A3FC2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03B76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7290F"/>
    <w:rsid w:val="00C8576F"/>
    <w:rsid w:val="00C860D4"/>
    <w:rsid w:val="00C93C1F"/>
    <w:rsid w:val="00C95BA9"/>
    <w:rsid w:val="00C964C4"/>
    <w:rsid w:val="00CB0C1C"/>
    <w:rsid w:val="00CB1D3A"/>
    <w:rsid w:val="00CB2050"/>
    <w:rsid w:val="00CB6F0F"/>
    <w:rsid w:val="00CC23C0"/>
    <w:rsid w:val="00CC338F"/>
    <w:rsid w:val="00CC43E3"/>
    <w:rsid w:val="00CC7258"/>
    <w:rsid w:val="00CE093A"/>
    <w:rsid w:val="00CE20EB"/>
    <w:rsid w:val="00CE6BF3"/>
    <w:rsid w:val="00CF0739"/>
    <w:rsid w:val="00CF116F"/>
    <w:rsid w:val="00CF1519"/>
    <w:rsid w:val="00CF34D9"/>
    <w:rsid w:val="00CF4809"/>
    <w:rsid w:val="00CF5AE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2BFE"/>
    <w:rsid w:val="00E07675"/>
    <w:rsid w:val="00E10313"/>
    <w:rsid w:val="00E112EC"/>
    <w:rsid w:val="00E1488E"/>
    <w:rsid w:val="00E1500B"/>
    <w:rsid w:val="00E16BE4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D20"/>
    <w:rsid w:val="00EF1EF1"/>
    <w:rsid w:val="00F0212C"/>
    <w:rsid w:val="00F02672"/>
    <w:rsid w:val="00F05076"/>
    <w:rsid w:val="00F06EC7"/>
    <w:rsid w:val="00F1589E"/>
    <w:rsid w:val="00F23B34"/>
    <w:rsid w:val="00F32B4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7F07D62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2614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Tina Köll</cp:lastModifiedBy>
  <cp:revision>2</cp:revision>
  <cp:lastPrinted>2020-06-25T13:48:00Z</cp:lastPrinted>
  <dcterms:created xsi:type="dcterms:W3CDTF">2025-09-23T11:31:00Z</dcterms:created>
  <dcterms:modified xsi:type="dcterms:W3CDTF">2025-09-23T11:31:00Z</dcterms:modified>
</cp:coreProperties>
</file>