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CC338F" w:rsidRDefault="003F000C" w:rsidP="00EB74E4">
      <w:pPr>
        <w:tabs>
          <w:tab w:val="left" w:pos="1080"/>
        </w:tabs>
        <w:ind w:left="1080" w:hanging="1080"/>
        <w:rPr>
          <w:sz w:val="16"/>
        </w:rPr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3D0F58">
        <w:t>Master</w:t>
      </w:r>
      <w:r w:rsidRPr="00A32741">
        <w:t xml:space="preserve">studium </w:t>
      </w:r>
      <w:r w:rsidR="00092443">
        <w:t>Chemie</w:t>
      </w:r>
      <w:r w:rsidR="00BA55AC">
        <w:t>ingenieurwissenschaften</w:t>
      </w:r>
      <w:r w:rsidR="00092443">
        <w:t xml:space="preserve"> </w:t>
      </w:r>
      <w:r w:rsidR="00A32741" w:rsidRPr="00A32741">
        <w:t xml:space="preserve">an </w:t>
      </w:r>
      <w:r w:rsidRPr="00A32741">
        <w:t xml:space="preserve">der Fakultät für </w:t>
      </w:r>
      <w:r w:rsidR="00092443">
        <w:t>Chemie und Pharmazie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BA55AC">
        <w:t>5. April 2019</w:t>
      </w:r>
      <w:r w:rsidR="00CE6BF3">
        <w:t xml:space="preserve">, </w:t>
      </w:r>
      <w:r w:rsidR="003D0F58">
        <w:t>2</w:t>
      </w:r>
      <w:r w:rsidR="00BA55AC">
        <w:t>7. Stück, Nr. 374</w:t>
      </w:r>
      <w:r w:rsidR="00847CE2">
        <w:t xml:space="preserve"> i.d.g.F.</w:t>
      </w:r>
      <w:r w:rsidRPr="00DE4FBE">
        <w:t>)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808"/>
        <w:gridCol w:w="778"/>
        <w:gridCol w:w="11"/>
        <w:gridCol w:w="776"/>
        <w:gridCol w:w="5952"/>
        <w:gridCol w:w="709"/>
        <w:gridCol w:w="709"/>
      </w:tblGrid>
      <w:tr w:rsidR="003F000C" w:rsidRPr="00FA2174" w:rsidTr="009D08AE">
        <w:trPr>
          <w:trHeight w:val="291"/>
        </w:trPr>
        <w:tc>
          <w:tcPr>
            <w:tcW w:w="992" w:type="dxa"/>
            <w:vMerge w:val="restart"/>
            <w:vAlign w:val="center"/>
          </w:tcPr>
          <w:p w:rsidR="003F000C" w:rsidRDefault="00847CE2" w:rsidP="00A0684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08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89" w:type="dxa"/>
            <w:gridSpan w:val="2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76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5952" w:type="dxa"/>
            <w:vMerge w:val="restart"/>
          </w:tcPr>
          <w:p w:rsidR="003F000C" w:rsidRPr="00FA2174" w:rsidRDefault="003F000C" w:rsidP="001357B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357B6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C83E8E">
              <w:rPr>
                <w:b/>
              </w:rPr>
              <w:t>Chemie</w:t>
            </w:r>
            <w:r w:rsidR="00BA55AC">
              <w:rPr>
                <w:b/>
              </w:rPr>
              <w:t>ingenieurwissenschaften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9D08AE">
        <w:trPr>
          <w:trHeight w:val="291"/>
        </w:trPr>
        <w:tc>
          <w:tcPr>
            <w:tcW w:w="992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08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89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76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52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9D08AE">
        <w:trPr>
          <w:trHeight w:val="291"/>
        </w:trPr>
        <w:tc>
          <w:tcPr>
            <w:tcW w:w="992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08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89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76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52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9D08AE">
        <w:trPr>
          <w:trHeight w:val="291"/>
        </w:trPr>
        <w:tc>
          <w:tcPr>
            <w:tcW w:w="992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08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89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76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52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9D08AE">
        <w:trPr>
          <w:trHeight w:val="291"/>
        </w:trPr>
        <w:tc>
          <w:tcPr>
            <w:tcW w:w="992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08" w:type="dxa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89" w:type="dxa"/>
            <w:gridSpan w:val="2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76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52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42DEA">
        <w:trPr>
          <w:trHeight w:val="567"/>
        </w:trPr>
        <w:tc>
          <w:tcPr>
            <w:tcW w:w="992" w:type="dxa"/>
            <w:vMerge w:val="restart"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08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89" w:type="dxa"/>
            <w:gridSpan w:val="2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76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952" w:type="dxa"/>
          </w:tcPr>
          <w:p w:rsidR="00D204FA" w:rsidRPr="000B72AE" w:rsidRDefault="00667D51" w:rsidP="00DC5694">
            <w:pPr>
              <w:spacing w:before="60" w:after="60"/>
              <w:ind w:left="5"/>
              <w:jc w:val="left"/>
            </w:pPr>
            <w:r>
              <w:t>Pflichtmodul: Reaktionstechnik I</w:t>
            </w:r>
          </w:p>
        </w:tc>
        <w:tc>
          <w:tcPr>
            <w:tcW w:w="709" w:type="dxa"/>
          </w:tcPr>
          <w:p w:rsidR="00D204FA" w:rsidRDefault="00667D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204FA" w:rsidRDefault="00667D51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:rsidTr="00B42DEA">
        <w:trPr>
          <w:trHeight w:val="567"/>
        </w:trPr>
        <w:tc>
          <w:tcPr>
            <w:tcW w:w="992" w:type="dxa"/>
            <w:vMerge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D204FA" w:rsidRPr="00FB5B95" w:rsidRDefault="00667D51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Reaktionstechnik I</w:t>
            </w:r>
          </w:p>
        </w:tc>
        <w:tc>
          <w:tcPr>
            <w:tcW w:w="709" w:type="dxa"/>
          </w:tcPr>
          <w:p w:rsidR="00D204FA" w:rsidRDefault="00667D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204FA" w:rsidRDefault="00667D5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4E04C0" w:rsidRPr="00DE302D" w:rsidTr="00B42DEA">
        <w:trPr>
          <w:trHeight w:val="567"/>
        </w:trPr>
        <w:tc>
          <w:tcPr>
            <w:tcW w:w="992" w:type="dxa"/>
            <w:vMerge/>
          </w:tcPr>
          <w:p w:rsidR="004E04C0" w:rsidRPr="007A3421" w:rsidRDefault="004E04C0" w:rsidP="004E04C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4E04C0" w:rsidRPr="000B72AE" w:rsidRDefault="004E04C0" w:rsidP="004E04C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4E04C0" w:rsidRDefault="004E04C0" w:rsidP="004E04C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4E04C0" w:rsidRDefault="004E04C0" w:rsidP="004E04C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4E04C0" w:rsidRPr="00FB5B95" w:rsidRDefault="00667D51" w:rsidP="004E04C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Rechenbeispiele zu Reaktionstechnik I</w:t>
            </w:r>
          </w:p>
        </w:tc>
        <w:tc>
          <w:tcPr>
            <w:tcW w:w="709" w:type="dxa"/>
          </w:tcPr>
          <w:p w:rsidR="004E04C0" w:rsidRDefault="00667D51" w:rsidP="004E04C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E04C0" w:rsidRDefault="00667D51" w:rsidP="004E04C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5F0FBA" w:rsidRPr="00DE302D" w:rsidTr="00B42DEA">
        <w:trPr>
          <w:trHeight w:val="567"/>
        </w:trPr>
        <w:tc>
          <w:tcPr>
            <w:tcW w:w="992" w:type="dxa"/>
            <w:vMerge w:val="restart"/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5F0FBA" w:rsidRPr="00FB5B95" w:rsidRDefault="006E0F18" w:rsidP="00DC5694">
            <w:pPr>
              <w:spacing w:before="60" w:after="60"/>
              <w:ind w:left="5"/>
              <w:jc w:val="left"/>
            </w:pPr>
            <w:r>
              <w:t>Pflichtmodul: Thermische Verfahrenstechnik I</w:t>
            </w:r>
          </w:p>
        </w:tc>
        <w:tc>
          <w:tcPr>
            <w:tcW w:w="709" w:type="dxa"/>
          </w:tcPr>
          <w:p w:rsidR="005F0FBA" w:rsidRDefault="006E0F1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5F0FBA" w:rsidRDefault="006E0F1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0FBA" w:rsidRPr="00DE302D" w:rsidTr="00B42DEA">
        <w:trPr>
          <w:trHeight w:val="567"/>
        </w:trPr>
        <w:tc>
          <w:tcPr>
            <w:tcW w:w="992" w:type="dxa"/>
            <w:vMerge/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5F0FBA" w:rsidRPr="00513AA7" w:rsidRDefault="006E0F18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Thermische Verfahrenstechnik I</w:t>
            </w:r>
          </w:p>
        </w:tc>
        <w:tc>
          <w:tcPr>
            <w:tcW w:w="709" w:type="dxa"/>
          </w:tcPr>
          <w:p w:rsidR="005F0FBA" w:rsidRDefault="006E0F1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5F0FBA" w:rsidRDefault="006E0F1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0FBA" w:rsidRPr="00DE302D" w:rsidTr="00B42DEA">
        <w:trPr>
          <w:trHeight w:val="567"/>
        </w:trPr>
        <w:tc>
          <w:tcPr>
            <w:tcW w:w="992" w:type="dxa"/>
            <w:vMerge w:val="restart"/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08" w:type="dxa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5F0FBA" w:rsidRPr="007A3421" w:rsidRDefault="001E00FA" w:rsidP="00537F40">
            <w:pPr>
              <w:spacing w:before="60" w:after="60"/>
              <w:ind w:left="5"/>
              <w:jc w:val="left"/>
            </w:pPr>
            <w:r>
              <w:t>Pflichtmodul: Wärme- und Stofftransport</w:t>
            </w:r>
          </w:p>
        </w:tc>
        <w:tc>
          <w:tcPr>
            <w:tcW w:w="709" w:type="dxa"/>
          </w:tcPr>
          <w:p w:rsidR="005F0FBA" w:rsidRDefault="001E00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5F0FBA" w:rsidRDefault="001E00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76A15" w:rsidRPr="00DE302D" w:rsidTr="00B42DEA">
        <w:trPr>
          <w:trHeight w:val="567"/>
        </w:trPr>
        <w:tc>
          <w:tcPr>
            <w:tcW w:w="992" w:type="dxa"/>
            <w:vMerge/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976A15" w:rsidRPr="00E65F68" w:rsidRDefault="001E00F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Stoff- und Energiebilanzen</w:t>
            </w:r>
          </w:p>
        </w:tc>
        <w:tc>
          <w:tcPr>
            <w:tcW w:w="709" w:type="dxa"/>
          </w:tcPr>
          <w:p w:rsidR="00976A15" w:rsidRDefault="001E00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76A15" w:rsidRDefault="001E00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976A15" w:rsidRPr="00DE302D" w:rsidTr="00B42DEA">
        <w:trPr>
          <w:trHeight w:val="567"/>
        </w:trPr>
        <w:tc>
          <w:tcPr>
            <w:tcW w:w="992" w:type="dxa"/>
            <w:vMerge/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976A15" w:rsidRPr="00E65F68" w:rsidRDefault="001E00F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Wärme- und Stofftransport</w:t>
            </w:r>
          </w:p>
        </w:tc>
        <w:tc>
          <w:tcPr>
            <w:tcW w:w="709" w:type="dxa"/>
          </w:tcPr>
          <w:p w:rsidR="00976A15" w:rsidRDefault="001E00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976A15" w:rsidRDefault="001E00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76A15" w:rsidRPr="00DE302D" w:rsidTr="00B42DEA">
        <w:trPr>
          <w:trHeight w:val="567"/>
        </w:trPr>
        <w:tc>
          <w:tcPr>
            <w:tcW w:w="992" w:type="dxa"/>
            <w:vMerge w:val="restart"/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976A15" w:rsidRPr="000B72AE" w:rsidRDefault="00460E76" w:rsidP="00537F40">
            <w:pPr>
              <w:spacing w:before="60" w:after="60"/>
              <w:ind w:left="5"/>
              <w:jc w:val="left"/>
            </w:pPr>
            <w:r>
              <w:t>Pflichtmodul: Feststoffverfahrenstechnik</w:t>
            </w:r>
          </w:p>
        </w:tc>
        <w:tc>
          <w:tcPr>
            <w:tcW w:w="709" w:type="dxa"/>
          </w:tcPr>
          <w:p w:rsidR="00976A15" w:rsidRDefault="00460E76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76A15" w:rsidRDefault="00460E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60016" w:rsidRPr="00DE302D" w:rsidTr="00B42DEA">
        <w:trPr>
          <w:trHeight w:val="567"/>
        </w:trPr>
        <w:tc>
          <w:tcPr>
            <w:tcW w:w="992" w:type="dxa"/>
            <w:vMerge/>
          </w:tcPr>
          <w:p w:rsidR="00B60016" w:rsidRPr="007A3421" w:rsidRDefault="00B60016" w:rsidP="00B6001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60016" w:rsidRDefault="00B60016" w:rsidP="00B6001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B60016" w:rsidRDefault="00B60016" w:rsidP="00B600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B60016" w:rsidRDefault="00B60016" w:rsidP="00B600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60016" w:rsidRPr="00E65F68" w:rsidRDefault="00460E76" w:rsidP="00B6001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Feststoffverfahrenstechnik</w:t>
            </w:r>
          </w:p>
        </w:tc>
        <w:tc>
          <w:tcPr>
            <w:tcW w:w="709" w:type="dxa"/>
          </w:tcPr>
          <w:p w:rsidR="00B60016" w:rsidRDefault="00460E76" w:rsidP="00B600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60016" w:rsidRDefault="00460E76" w:rsidP="00B6001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71F8D" w:rsidRPr="00DE302D" w:rsidTr="00B42DEA">
        <w:trPr>
          <w:trHeight w:val="567"/>
        </w:trPr>
        <w:tc>
          <w:tcPr>
            <w:tcW w:w="992" w:type="dxa"/>
            <w:vMerge/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671F8D" w:rsidRPr="00E65F68" w:rsidRDefault="00460E76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Feststoffverfahrenstechnik</w:t>
            </w:r>
          </w:p>
        </w:tc>
        <w:tc>
          <w:tcPr>
            <w:tcW w:w="709" w:type="dxa"/>
          </w:tcPr>
          <w:p w:rsidR="00CC7258" w:rsidRDefault="00460E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C7258" w:rsidRDefault="00460E7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61E40" w:rsidRPr="00DE302D" w:rsidTr="00B42DEA">
        <w:trPr>
          <w:trHeight w:val="567"/>
        </w:trPr>
        <w:tc>
          <w:tcPr>
            <w:tcW w:w="992" w:type="dxa"/>
            <w:vMerge w:val="restart"/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661E40" w:rsidRPr="00537F40" w:rsidRDefault="000227F2" w:rsidP="00537F40">
            <w:pPr>
              <w:spacing w:before="60" w:after="60"/>
              <w:ind w:left="5"/>
              <w:jc w:val="left"/>
            </w:pPr>
            <w:r>
              <w:t>Pflichtmodul: Reaktionstechnik II</w:t>
            </w:r>
          </w:p>
        </w:tc>
        <w:tc>
          <w:tcPr>
            <w:tcW w:w="709" w:type="dxa"/>
          </w:tcPr>
          <w:p w:rsidR="00661E40" w:rsidRDefault="000227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61E40" w:rsidRDefault="000227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61E40" w:rsidRPr="00DE302D" w:rsidTr="00B42DEA">
        <w:trPr>
          <w:trHeight w:val="567"/>
        </w:trPr>
        <w:tc>
          <w:tcPr>
            <w:tcW w:w="992" w:type="dxa"/>
            <w:vMerge/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661E40" w:rsidRPr="00E65F68" w:rsidRDefault="000227F2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Reaktionstechnik II</w:t>
            </w:r>
          </w:p>
        </w:tc>
        <w:tc>
          <w:tcPr>
            <w:tcW w:w="709" w:type="dxa"/>
          </w:tcPr>
          <w:p w:rsidR="00661E40" w:rsidRDefault="000227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61E40" w:rsidRDefault="000227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13DF2" w:rsidRPr="00DE302D" w:rsidTr="00B42DEA">
        <w:trPr>
          <w:trHeight w:val="567"/>
        </w:trPr>
        <w:tc>
          <w:tcPr>
            <w:tcW w:w="992" w:type="dxa"/>
            <w:vMerge w:val="restart"/>
          </w:tcPr>
          <w:p w:rsidR="00B13DF2" w:rsidRPr="007A3421" w:rsidRDefault="00B13DF2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13DF2" w:rsidRPr="000B72AE" w:rsidRDefault="00B13DF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13DF2" w:rsidRDefault="00B13D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B13DF2" w:rsidRDefault="00B13D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13DF2" w:rsidRPr="000B72AE" w:rsidRDefault="00FE7090" w:rsidP="00516D9C">
            <w:pPr>
              <w:spacing w:before="60" w:after="60"/>
              <w:ind w:left="5"/>
              <w:jc w:val="left"/>
            </w:pPr>
            <w:r w:rsidRPr="00FE7090">
              <w:t>Pflichtmodul: Reaktordesign</w:t>
            </w:r>
          </w:p>
        </w:tc>
        <w:tc>
          <w:tcPr>
            <w:tcW w:w="709" w:type="dxa"/>
          </w:tcPr>
          <w:p w:rsidR="00B13DF2" w:rsidRDefault="00FE70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13DF2" w:rsidRDefault="00FE70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13DF2" w:rsidRPr="00DE302D" w:rsidTr="00B42DEA">
        <w:trPr>
          <w:trHeight w:val="567"/>
        </w:trPr>
        <w:tc>
          <w:tcPr>
            <w:tcW w:w="992" w:type="dxa"/>
            <w:vMerge/>
          </w:tcPr>
          <w:p w:rsidR="00B13DF2" w:rsidRPr="007A3421" w:rsidRDefault="00B13DF2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13DF2" w:rsidRPr="000B72AE" w:rsidRDefault="00B13DF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13DF2" w:rsidRDefault="00B13D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B13DF2" w:rsidRDefault="00B13D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13DF2" w:rsidRPr="004E408F" w:rsidRDefault="00FE7090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Reaktordesign</w:t>
            </w:r>
          </w:p>
        </w:tc>
        <w:tc>
          <w:tcPr>
            <w:tcW w:w="709" w:type="dxa"/>
          </w:tcPr>
          <w:p w:rsidR="00B13DF2" w:rsidRDefault="00FE70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13DF2" w:rsidRDefault="00FE70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13DF2" w:rsidRPr="00DE302D" w:rsidTr="00B42DEA">
        <w:trPr>
          <w:trHeight w:val="567"/>
        </w:trPr>
        <w:tc>
          <w:tcPr>
            <w:tcW w:w="992" w:type="dxa"/>
            <w:vMerge/>
          </w:tcPr>
          <w:p w:rsidR="00B13DF2" w:rsidRPr="007A3421" w:rsidRDefault="00B13DF2" w:rsidP="00B13DF2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13DF2" w:rsidRPr="000B72AE" w:rsidRDefault="00B13DF2" w:rsidP="00B13D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13DF2" w:rsidRDefault="00B13DF2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B13DF2" w:rsidRDefault="00B13DF2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13DF2" w:rsidRPr="004E408F" w:rsidRDefault="00FE7090" w:rsidP="00B13D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Anlagensicherheit</w:t>
            </w:r>
          </w:p>
        </w:tc>
        <w:tc>
          <w:tcPr>
            <w:tcW w:w="709" w:type="dxa"/>
          </w:tcPr>
          <w:p w:rsidR="00B13DF2" w:rsidRDefault="00FE7090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13DF2" w:rsidRDefault="00FE7090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B13DF2" w:rsidRPr="00DE302D" w:rsidTr="00B42DEA">
        <w:trPr>
          <w:trHeight w:val="567"/>
        </w:trPr>
        <w:tc>
          <w:tcPr>
            <w:tcW w:w="992" w:type="dxa"/>
            <w:vMerge/>
          </w:tcPr>
          <w:p w:rsidR="00B13DF2" w:rsidRPr="007A3421" w:rsidRDefault="00B13DF2" w:rsidP="00B13DF2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13DF2" w:rsidRPr="000B72AE" w:rsidRDefault="00B13DF2" w:rsidP="00B13D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13DF2" w:rsidRDefault="00B13DF2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B13DF2" w:rsidRDefault="00B13DF2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13DF2" w:rsidRPr="004E408F" w:rsidRDefault="00FE7090" w:rsidP="00B13D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Rechenbeispiele zu Reaktordesign</w:t>
            </w:r>
          </w:p>
        </w:tc>
        <w:tc>
          <w:tcPr>
            <w:tcW w:w="709" w:type="dxa"/>
          </w:tcPr>
          <w:p w:rsidR="00B13DF2" w:rsidRDefault="00FE7090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13DF2" w:rsidRDefault="00FE7090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E797B" w:rsidRPr="00DE302D" w:rsidTr="00B42DEA">
        <w:trPr>
          <w:trHeight w:val="567"/>
        </w:trPr>
        <w:tc>
          <w:tcPr>
            <w:tcW w:w="992" w:type="dxa"/>
            <w:vMerge w:val="restart"/>
          </w:tcPr>
          <w:p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8E797B" w:rsidRPr="000B72AE" w:rsidRDefault="00457495" w:rsidP="004E408F">
            <w:pPr>
              <w:spacing w:before="60" w:after="60"/>
              <w:ind w:left="5"/>
              <w:jc w:val="left"/>
            </w:pPr>
            <w:r>
              <w:t>Pflichtmodul: Thermische Verfahrenstechnik II</w:t>
            </w:r>
          </w:p>
        </w:tc>
        <w:tc>
          <w:tcPr>
            <w:tcW w:w="709" w:type="dxa"/>
          </w:tcPr>
          <w:p w:rsidR="008E797B" w:rsidRDefault="004574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E797B" w:rsidRDefault="004574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E797B" w:rsidRPr="00DE302D" w:rsidTr="00B42DEA">
        <w:trPr>
          <w:trHeight w:val="567"/>
        </w:trPr>
        <w:tc>
          <w:tcPr>
            <w:tcW w:w="992" w:type="dxa"/>
            <w:vMerge/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8E797B" w:rsidRPr="004E408F" w:rsidRDefault="00457495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Thermische Verfahrenstechnik II</w:t>
            </w:r>
          </w:p>
        </w:tc>
        <w:tc>
          <w:tcPr>
            <w:tcW w:w="709" w:type="dxa"/>
          </w:tcPr>
          <w:p w:rsidR="008E797B" w:rsidRDefault="004574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E797B" w:rsidRDefault="004574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B3BF6" w:rsidRPr="00DE302D" w:rsidTr="00B42DEA">
        <w:trPr>
          <w:trHeight w:val="567"/>
        </w:trPr>
        <w:tc>
          <w:tcPr>
            <w:tcW w:w="992" w:type="dxa"/>
            <w:vMerge w:val="restart"/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FB3BF6" w:rsidRPr="000B72AE" w:rsidRDefault="00457495" w:rsidP="00CF5AE6">
            <w:pPr>
              <w:spacing w:before="60" w:after="60"/>
              <w:ind w:left="5"/>
              <w:jc w:val="left"/>
            </w:pPr>
            <w:r>
              <w:t>Pflichtmodul: Labor zur Thermischen Verfahrenstechnik</w:t>
            </w:r>
          </w:p>
        </w:tc>
        <w:tc>
          <w:tcPr>
            <w:tcW w:w="709" w:type="dxa"/>
          </w:tcPr>
          <w:p w:rsidR="00FB3BF6" w:rsidRDefault="004574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B3BF6" w:rsidRDefault="0045749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F27C4" w:rsidRPr="00DE302D" w:rsidTr="00B42DEA">
        <w:trPr>
          <w:trHeight w:val="567"/>
        </w:trPr>
        <w:tc>
          <w:tcPr>
            <w:tcW w:w="992" w:type="dxa"/>
            <w:vMerge/>
          </w:tcPr>
          <w:p w:rsidR="002F27C4" w:rsidRPr="007A3421" w:rsidRDefault="002F27C4" w:rsidP="002F27C4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2F27C4" w:rsidRPr="000B72AE" w:rsidRDefault="002F27C4" w:rsidP="002F2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2F27C4" w:rsidRDefault="002F27C4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2F27C4" w:rsidRDefault="002F27C4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2F27C4" w:rsidRPr="00D81D74" w:rsidRDefault="00457495" w:rsidP="002F27C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Labor zur Thermischen Verfahrenstechnik</w:t>
            </w:r>
          </w:p>
        </w:tc>
        <w:tc>
          <w:tcPr>
            <w:tcW w:w="709" w:type="dxa"/>
          </w:tcPr>
          <w:p w:rsidR="002F27C4" w:rsidRDefault="00457495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F27C4" w:rsidRDefault="00457495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F07A4" w:rsidRPr="00DE302D" w:rsidTr="00B42DEA">
        <w:trPr>
          <w:trHeight w:val="567"/>
        </w:trPr>
        <w:tc>
          <w:tcPr>
            <w:tcW w:w="992" w:type="dxa"/>
            <w:vMerge w:val="restart"/>
          </w:tcPr>
          <w:p w:rsidR="000F07A4" w:rsidRPr="007A3421" w:rsidRDefault="000F07A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0F07A4" w:rsidRPr="000B72AE" w:rsidRDefault="000F07A4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0F07A4" w:rsidRDefault="000F07A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0F07A4" w:rsidRDefault="000F07A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0F07A4" w:rsidRPr="000B72AE" w:rsidRDefault="000F6CC6" w:rsidP="00BD2293">
            <w:pPr>
              <w:spacing w:before="60" w:after="60"/>
              <w:ind w:left="5"/>
              <w:jc w:val="left"/>
            </w:pPr>
            <w:r>
              <w:t>Pflichtmodul: Bioreaktionstechnik</w:t>
            </w:r>
          </w:p>
        </w:tc>
        <w:tc>
          <w:tcPr>
            <w:tcW w:w="709" w:type="dxa"/>
          </w:tcPr>
          <w:p w:rsidR="000F07A4" w:rsidRDefault="000F6CC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F07A4" w:rsidRDefault="000F6CC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F07A4" w:rsidRPr="00DE302D" w:rsidTr="00B42DEA">
        <w:trPr>
          <w:trHeight w:val="567"/>
        </w:trPr>
        <w:tc>
          <w:tcPr>
            <w:tcW w:w="992" w:type="dxa"/>
            <w:vMerge/>
          </w:tcPr>
          <w:p w:rsidR="000F07A4" w:rsidRPr="007A3421" w:rsidRDefault="000F07A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0F07A4" w:rsidRDefault="000F07A4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0F07A4" w:rsidRDefault="000F07A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0F07A4" w:rsidRDefault="000F07A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0F07A4" w:rsidRPr="00D81D74" w:rsidRDefault="000F6CC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Bioreaktionstechnik</w:t>
            </w:r>
          </w:p>
        </w:tc>
        <w:tc>
          <w:tcPr>
            <w:tcW w:w="709" w:type="dxa"/>
          </w:tcPr>
          <w:p w:rsidR="000F07A4" w:rsidRDefault="000F6CC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F07A4" w:rsidRDefault="000F6CC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F07A4" w:rsidRPr="00DE302D" w:rsidTr="00B42DEA">
        <w:trPr>
          <w:trHeight w:val="567"/>
        </w:trPr>
        <w:tc>
          <w:tcPr>
            <w:tcW w:w="992" w:type="dxa"/>
            <w:vMerge/>
          </w:tcPr>
          <w:p w:rsidR="000F07A4" w:rsidRPr="007A3421" w:rsidRDefault="000F07A4" w:rsidP="000F07A4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0F07A4" w:rsidRDefault="000F07A4" w:rsidP="000F07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9" w:type="dxa"/>
            <w:gridSpan w:val="2"/>
            <w:shd w:val="clear" w:color="auto" w:fill="E6E6E6"/>
          </w:tcPr>
          <w:p w:rsidR="000F07A4" w:rsidRDefault="000F07A4" w:rsidP="000F07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6" w:type="dxa"/>
            <w:shd w:val="clear" w:color="auto" w:fill="E6E6E6"/>
          </w:tcPr>
          <w:p w:rsidR="000F07A4" w:rsidRDefault="000F07A4" w:rsidP="000F07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0F07A4" w:rsidRPr="00D81D74" w:rsidRDefault="000F6CC6" w:rsidP="000F07A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Labor zur Bioreaktionstechnik</w:t>
            </w:r>
          </w:p>
        </w:tc>
        <w:tc>
          <w:tcPr>
            <w:tcW w:w="709" w:type="dxa"/>
          </w:tcPr>
          <w:p w:rsidR="000F07A4" w:rsidRDefault="000F6CC6" w:rsidP="000F07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F07A4" w:rsidRDefault="000F6CC6" w:rsidP="000F07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8E7A02" w:rsidRPr="00DE302D" w:rsidTr="00B42DEA">
        <w:trPr>
          <w:trHeight w:val="567"/>
        </w:trPr>
        <w:tc>
          <w:tcPr>
            <w:tcW w:w="992" w:type="dxa"/>
            <w:vMerge w:val="restart"/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8E7A02" w:rsidRPr="000B72AE" w:rsidRDefault="000F6CC6" w:rsidP="00CF5AE6">
            <w:pPr>
              <w:spacing w:before="60" w:after="60"/>
              <w:ind w:left="5"/>
              <w:jc w:val="left"/>
            </w:pPr>
            <w:r>
              <w:t>Pflichtmodul: Konzeptuelles Prozess-Design</w:t>
            </w:r>
          </w:p>
        </w:tc>
        <w:tc>
          <w:tcPr>
            <w:tcW w:w="709" w:type="dxa"/>
          </w:tcPr>
          <w:p w:rsidR="008E7A02" w:rsidRDefault="000F6CC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E7A02" w:rsidRDefault="000F6CC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E7A02" w:rsidRPr="00DE302D" w:rsidTr="00B42DEA">
        <w:trPr>
          <w:trHeight w:val="567"/>
        </w:trPr>
        <w:tc>
          <w:tcPr>
            <w:tcW w:w="992" w:type="dxa"/>
            <w:vMerge/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8E7A02" w:rsidRPr="00D81D74" w:rsidRDefault="000F6CC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Konzeptuelles Prozess-Design</w:t>
            </w:r>
          </w:p>
        </w:tc>
        <w:tc>
          <w:tcPr>
            <w:tcW w:w="709" w:type="dxa"/>
          </w:tcPr>
          <w:p w:rsidR="005F2490" w:rsidRDefault="000F6CC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F2490" w:rsidRDefault="000F6CC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681EBF" w:rsidRDefault="00681EBF">
      <w:r>
        <w:br w:type="page"/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808"/>
        <w:gridCol w:w="778"/>
        <w:gridCol w:w="787"/>
        <w:gridCol w:w="5952"/>
        <w:gridCol w:w="709"/>
        <w:gridCol w:w="709"/>
      </w:tblGrid>
      <w:tr w:rsidR="003342B3" w:rsidRPr="00DE302D" w:rsidTr="00B42DEA">
        <w:trPr>
          <w:trHeight w:val="567"/>
        </w:trPr>
        <w:tc>
          <w:tcPr>
            <w:tcW w:w="992" w:type="dxa"/>
            <w:vMerge w:val="restart"/>
          </w:tcPr>
          <w:p w:rsidR="003342B3" w:rsidRPr="007A3421" w:rsidRDefault="003342B3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3342B3" w:rsidRPr="000B72AE" w:rsidRDefault="003342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3342B3" w:rsidRDefault="003342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3342B3" w:rsidRDefault="003342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3342B3" w:rsidRPr="00CF5AE6" w:rsidRDefault="007F01E8" w:rsidP="00CF5AE6">
            <w:pPr>
              <w:spacing w:before="60" w:after="60"/>
              <w:ind w:left="5"/>
              <w:jc w:val="left"/>
            </w:pPr>
            <w:r>
              <w:t>Pflichtmodul: CVT Labor</w:t>
            </w:r>
          </w:p>
        </w:tc>
        <w:tc>
          <w:tcPr>
            <w:tcW w:w="709" w:type="dxa"/>
          </w:tcPr>
          <w:p w:rsidR="003342B3" w:rsidRDefault="007F01E8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3342B3" w:rsidRDefault="007F01E8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342B3" w:rsidRPr="00DE302D" w:rsidTr="00B42DEA">
        <w:trPr>
          <w:trHeight w:val="567"/>
        </w:trPr>
        <w:tc>
          <w:tcPr>
            <w:tcW w:w="992" w:type="dxa"/>
            <w:vMerge/>
          </w:tcPr>
          <w:p w:rsidR="003342B3" w:rsidRPr="007A3421" w:rsidRDefault="003342B3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3342B3" w:rsidRDefault="003342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3342B3" w:rsidRDefault="003342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3342B3" w:rsidRDefault="003342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3342B3" w:rsidRPr="00D81D74" w:rsidRDefault="007F01E8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Chemische Verfahrenstechnik – Labor</w:t>
            </w:r>
          </w:p>
        </w:tc>
        <w:tc>
          <w:tcPr>
            <w:tcW w:w="709" w:type="dxa"/>
          </w:tcPr>
          <w:p w:rsidR="003342B3" w:rsidRDefault="007F01E8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3342B3" w:rsidRDefault="007F01E8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6C56D6" w:rsidRPr="00DE302D" w:rsidTr="00B42DEA">
        <w:trPr>
          <w:trHeight w:val="567"/>
        </w:trPr>
        <w:tc>
          <w:tcPr>
            <w:tcW w:w="992" w:type="dxa"/>
            <w:vMerge w:val="restart"/>
          </w:tcPr>
          <w:p w:rsidR="006C56D6" w:rsidRPr="007A3421" w:rsidRDefault="006C56D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6C56D6" w:rsidRPr="000B72AE" w:rsidRDefault="006C56D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6C56D6" w:rsidRDefault="006C56D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6C56D6" w:rsidRDefault="006C56D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6C56D6" w:rsidRPr="000B72AE" w:rsidRDefault="009D08AE" w:rsidP="00B20F06">
            <w:pPr>
              <w:spacing w:before="60" w:after="60"/>
              <w:ind w:left="5"/>
              <w:jc w:val="left"/>
            </w:pPr>
            <w:r>
              <w:t>Pflichtmodul: Angewandte Strömungsmechanik</w:t>
            </w:r>
          </w:p>
        </w:tc>
        <w:tc>
          <w:tcPr>
            <w:tcW w:w="709" w:type="dxa"/>
          </w:tcPr>
          <w:p w:rsidR="006C56D6" w:rsidRDefault="009D08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C56D6" w:rsidRDefault="009D08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C56D6" w:rsidRPr="00DE302D" w:rsidTr="00B42DEA">
        <w:trPr>
          <w:trHeight w:val="567"/>
        </w:trPr>
        <w:tc>
          <w:tcPr>
            <w:tcW w:w="992" w:type="dxa"/>
            <w:vMerge/>
          </w:tcPr>
          <w:p w:rsidR="006C56D6" w:rsidRPr="007A3421" w:rsidRDefault="006C56D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6C56D6" w:rsidRDefault="006C56D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6C56D6" w:rsidRDefault="006C56D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6C56D6" w:rsidRDefault="006C56D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6C56D6" w:rsidRPr="00D81D74" w:rsidRDefault="009D08A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Angewandte Strömungsmechanik</w:t>
            </w:r>
          </w:p>
        </w:tc>
        <w:tc>
          <w:tcPr>
            <w:tcW w:w="709" w:type="dxa"/>
          </w:tcPr>
          <w:p w:rsidR="006C56D6" w:rsidRDefault="009D08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C56D6" w:rsidRDefault="009D08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E5111" w:rsidRPr="00DE302D" w:rsidTr="00B42DEA">
        <w:trPr>
          <w:trHeight w:val="567"/>
        </w:trPr>
        <w:tc>
          <w:tcPr>
            <w:tcW w:w="992" w:type="dxa"/>
            <w:vMerge w:val="restart"/>
          </w:tcPr>
          <w:p w:rsidR="002E5111" w:rsidRPr="007A3421" w:rsidRDefault="002E5111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2E5111" w:rsidRPr="000B72AE" w:rsidRDefault="002E511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2E5111" w:rsidRDefault="002E511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2E5111" w:rsidRDefault="002E511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2E5111" w:rsidRPr="00CF5AE6" w:rsidRDefault="009D08AE" w:rsidP="00CF5AE6">
            <w:pPr>
              <w:spacing w:before="60" w:after="60"/>
              <w:ind w:left="5"/>
              <w:jc w:val="left"/>
            </w:pPr>
            <w:r>
              <w:t>Pflichtmodul: Mess-, Steuer- und Regelungstechnik</w:t>
            </w:r>
          </w:p>
        </w:tc>
        <w:tc>
          <w:tcPr>
            <w:tcW w:w="709" w:type="dxa"/>
          </w:tcPr>
          <w:p w:rsidR="002E5111" w:rsidRDefault="009D08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E5111" w:rsidRDefault="009D08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E5111" w:rsidRPr="00DE302D" w:rsidTr="00B42DEA">
        <w:trPr>
          <w:trHeight w:val="567"/>
        </w:trPr>
        <w:tc>
          <w:tcPr>
            <w:tcW w:w="992" w:type="dxa"/>
            <w:vMerge/>
          </w:tcPr>
          <w:p w:rsidR="002E5111" w:rsidRPr="007A3421" w:rsidRDefault="002E5111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2E5111" w:rsidRDefault="002E511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2E5111" w:rsidRDefault="002E511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2E5111" w:rsidRDefault="002E511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2E5111" w:rsidRPr="00D81D74" w:rsidRDefault="009D08A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Mess-, Steuer- und Regelungstechnik</w:t>
            </w:r>
          </w:p>
        </w:tc>
        <w:tc>
          <w:tcPr>
            <w:tcW w:w="709" w:type="dxa"/>
          </w:tcPr>
          <w:p w:rsidR="002E5111" w:rsidRDefault="009D08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E5111" w:rsidRDefault="009D08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B42DEA">
        <w:trPr>
          <w:trHeight w:val="567"/>
        </w:trPr>
        <w:tc>
          <w:tcPr>
            <w:tcW w:w="992" w:type="dxa"/>
            <w:vMerge w:val="restart"/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A87D9C" w:rsidRPr="00CF5AE6" w:rsidRDefault="00034B70" w:rsidP="00A87D9C">
            <w:pPr>
              <w:spacing w:before="60" w:after="60"/>
              <w:ind w:left="5"/>
              <w:jc w:val="left"/>
            </w:pPr>
            <w:r>
              <w:t>Pflichtmodul: Polymere Materialien</w:t>
            </w:r>
          </w:p>
        </w:tc>
        <w:tc>
          <w:tcPr>
            <w:tcW w:w="709" w:type="dxa"/>
          </w:tcPr>
          <w:p w:rsidR="005F2490" w:rsidRDefault="00034B7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F2490" w:rsidRDefault="00034B7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DE302D" w:rsidTr="00B42DEA">
        <w:trPr>
          <w:trHeight w:val="567"/>
        </w:trPr>
        <w:tc>
          <w:tcPr>
            <w:tcW w:w="992" w:type="dxa"/>
            <w:vMerge/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5F2490" w:rsidRPr="00D81D74" w:rsidRDefault="00034B7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Polymerchemie</w:t>
            </w:r>
          </w:p>
        </w:tc>
        <w:tc>
          <w:tcPr>
            <w:tcW w:w="709" w:type="dxa"/>
          </w:tcPr>
          <w:p w:rsidR="00FC3A24" w:rsidRDefault="00034B7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C3A24" w:rsidRDefault="00034B7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37B9D" w:rsidRPr="00DE302D" w:rsidTr="00B42DEA">
        <w:trPr>
          <w:trHeight w:val="567"/>
        </w:trPr>
        <w:tc>
          <w:tcPr>
            <w:tcW w:w="992" w:type="dxa"/>
            <w:vMerge/>
          </w:tcPr>
          <w:p w:rsidR="00F37B9D" w:rsidRPr="007A3421" w:rsidRDefault="00F37B9D" w:rsidP="00F37B9D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F37B9D" w:rsidRDefault="00F37B9D" w:rsidP="00F37B9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bookmarkEnd w:id="5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F37B9D" w:rsidRDefault="00F37B9D" w:rsidP="00F37B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F37B9D" w:rsidRDefault="00F37B9D" w:rsidP="00F37B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F37B9D" w:rsidRPr="00D81D74" w:rsidRDefault="00034B70" w:rsidP="00F37B9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Polymeranalytik</w:t>
            </w:r>
          </w:p>
        </w:tc>
        <w:tc>
          <w:tcPr>
            <w:tcW w:w="709" w:type="dxa"/>
          </w:tcPr>
          <w:p w:rsidR="00F37B9D" w:rsidRDefault="00034B70" w:rsidP="00F37B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37B9D" w:rsidRDefault="00034B70" w:rsidP="00F37B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5F2490" w:rsidRPr="007A3421" w:rsidTr="00B42DEA">
        <w:trPr>
          <w:trHeight w:val="567"/>
        </w:trPr>
        <w:tc>
          <w:tcPr>
            <w:tcW w:w="992" w:type="dxa"/>
            <w:vMerge w:val="restart"/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5F2490" w:rsidRPr="00CF5AE6" w:rsidRDefault="00034B70" w:rsidP="00CF5AE6">
            <w:pPr>
              <w:spacing w:before="60" w:after="60"/>
              <w:ind w:left="5"/>
              <w:jc w:val="left"/>
            </w:pPr>
            <w:r>
              <w:t>Pflichtmodul: Computerunterstütze Verfahrenstechnik</w:t>
            </w:r>
          </w:p>
        </w:tc>
        <w:tc>
          <w:tcPr>
            <w:tcW w:w="709" w:type="dxa"/>
          </w:tcPr>
          <w:p w:rsidR="005F2490" w:rsidRDefault="00034B70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F2490" w:rsidRDefault="00034B7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C0E2A" w:rsidRPr="007A3421" w:rsidTr="00B42DEA">
        <w:trPr>
          <w:trHeight w:val="567"/>
        </w:trPr>
        <w:tc>
          <w:tcPr>
            <w:tcW w:w="992" w:type="dxa"/>
            <w:vMerge/>
          </w:tcPr>
          <w:p w:rsidR="00CC0E2A" w:rsidRPr="007A3421" w:rsidRDefault="00CC0E2A" w:rsidP="00CC0E2A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CC0E2A" w:rsidRPr="000B72AE" w:rsidRDefault="00CC0E2A" w:rsidP="00CC0E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CC0E2A" w:rsidRDefault="00CC0E2A" w:rsidP="00CC0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CC0E2A" w:rsidRDefault="00CC0E2A" w:rsidP="00CC0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CC0E2A" w:rsidRPr="00CF5AE6" w:rsidRDefault="00034B70" w:rsidP="00CC0E2A">
            <w:pPr>
              <w:spacing w:before="60" w:after="60"/>
              <w:ind w:left="365"/>
              <w:jc w:val="left"/>
            </w:pPr>
            <w:r>
              <w:t>VO Computerunterstütze Verfahrenstechnik</w:t>
            </w:r>
          </w:p>
        </w:tc>
        <w:tc>
          <w:tcPr>
            <w:tcW w:w="709" w:type="dxa"/>
          </w:tcPr>
          <w:p w:rsidR="00CC0E2A" w:rsidRDefault="00034B70" w:rsidP="00CC0E2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C0E2A" w:rsidRDefault="00034B70" w:rsidP="00CC0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F2490" w:rsidRPr="007A3421" w:rsidTr="00B42DEA">
        <w:trPr>
          <w:trHeight w:val="567"/>
        </w:trPr>
        <w:tc>
          <w:tcPr>
            <w:tcW w:w="992" w:type="dxa"/>
            <w:vMerge/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5F2490" w:rsidRPr="00D81D74" w:rsidRDefault="00034B7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Rechenübungen zu Computerunterstützter Verfahrenstechnik</w:t>
            </w:r>
          </w:p>
        </w:tc>
        <w:tc>
          <w:tcPr>
            <w:tcW w:w="709" w:type="dxa"/>
          </w:tcPr>
          <w:p w:rsidR="002640DA" w:rsidRDefault="00034B70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640DA" w:rsidRDefault="00034B7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2A3C60" w:rsidRPr="007A3421" w:rsidTr="00B42DEA">
        <w:trPr>
          <w:trHeight w:val="567"/>
        </w:trPr>
        <w:tc>
          <w:tcPr>
            <w:tcW w:w="992" w:type="dxa"/>
          </w:tcPr>
          <w:p w:rsidR="002A3C60" w:rsidRPr="007A3421" w:rsidRDefault="002A3C60" w:rsidP="002A3C60">
            <w:p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2A3C60" w:rsidRDefault="002A3C60" w:rsidP="002A3C60">
            <w:pPr>
              <w:spacing w:before="60" w:after="60"/>
              <w:jc w:val="left"/>
            </w:pPr>
          </w:p>
        </w:tc>
        <w:tc>
          <w:tcPr>
            <w:tcW w:w="778" w:type="dxa"/>
            <w:shd w:val="clear" w:color="auto" w:fill="E6E6E6"/>
          </w:tcPr>
          <w:p w:rsidR="002A3C60" w:rsidRDefault="002A3C60" w:rsidP="002A3C6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E6E6E6"/>
          </w:tcPr>
          <w:p w:rsidR="002A3C60" w:rsidRDefault="002A3C60" w:rsidP="002A3C6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2" w:type="dxa"/>
          </w:tcPr>
          <w:p w:rsidR="002A3C60" w:rsidRPr="00B42DEA" w:rsidRDefault="002A3C60" w:rsidP="002A3C60">
            <w:pPr>
              <w:spacing w:before="60" w:after="60"/>
              <w:ind w:left="5"/>
              <w:jc w:val="left"/>
              <w:rPr>
                <w:i/>
              </w:rPr>
            </w:pPr>
            <w:r w:rsidRPr="00B42DEA">
              <w:rPr>
                <w:i/>
              </w:rPr>
              <w:t>Wahlmodule gemäß § 6 Abs. 2 des Curriculums im Umfang von insgesamt 25 ECTS-AP</w:t>
            </w:r>
          </w:p>
        </w:tc>
        <w:tc>
          <w:tcPr>
            <w:tcW w:w="709" w:type="dxa"/>
          </w:tcPr>
          <w:p w:rsidR="002A3C60" w:rsidRDefault="002A3C60" w:rsidP="002A3C6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2A3C60" w:rsidRDefault="002A3C60" w:rsidP="002A3C6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4D6C" w:rsidRPr="007A3421" w:rsidTr="00B42DEA">
        <w:trPr>
          <w:trHeight w:val="567"/>
        </w:trPr>
        <w:tc>
          <w:tcPr>
            <w:tcW w:w="992" w:type="dxa"/>
            <w:vMerge w:val="restart"/>
          </w:tcPr>
          <w:p w:rsidR="00854D6C" w:rsidRPr="007A3421" w:rsidRDefault="00854D6C" w:rsidP="002A3C6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854D6C" w:rsidRPr="00630759" w:rsidRDefault="00FB0C25" w:rsidP="00630759">
            <w:pPr>
              <w:spacing w:before="60" w:after="60"/>
              <w:ind w:left="5"/>
              <w:jc w:val="left"/>
            </w:pPr>
            <w:r>
              <w:t>Wahlmodul: Aktuelle Themen der Chemieingenieurwissenschaften</w:t>
            </w:r>
          </w:p>
        </w:tc>
        <w:tc>
          <w:tcPr>
            <w:tcW w:w="709" w:type="dxa"/>
          </w:tcPr>
          <w:p w:rsidR="00854D6C" w:rsidRDefault="00FB0C2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54D6C" w:rsidRDefault="00FB0C25" w:rsidP="00847C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E1D5B" w:rsidRPr="007A3421" w:rsidTr="00B42DEA">
        <w:trPr>
          <w:trHeight w:val="567"/>
        </w:trPr>
        <w:tc>
          <w:tcPr>
            <w:tcW w:w="992" w:type="dxa"/>
            <w:vMerge/>
          </w:tcPr>
          <w:p w:rsidR="005E1D5B" w:rsidRPr="007A3421" w:rsidRDefault="005E1D5B" w:rsidP="002A3C6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5E1D5B" w:rsidRPr="000B72AE" w:rsidRDefault="005E1D5B" w:rsidP="005E1D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5E1D5B" w:rsidRDefault="005E1D5B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5E1D5B" w:rsidRDefault="005E1D5B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5E1D5B" w:rsidRPr="00F865A8" w:rsidRDefault="00FB0C25" w:rsidP="005E1D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Verfahrenstechnik für Fortgeschrittene I</w:t>
            </w:r>
          </w:p>
        </w:tc>
        <w:tc>
          <w:tcPr>
            <w:tcW w:w="709" w:type="dxa"/>
          </w:tcPr>
          <w:p w:rsidR="005E1D5B" w:rsidRDefault="00FB0C25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1D5B" w:rsidRDefault="00FB0C25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4D6C" w:rsidRPr="007A3421" w:rsidTr="00B42DEA">
        <w:trPr>
          <w:trHeight w:val="567"/>
        </w:trPr>
        <w:tc>
          <w:tcPr>
            <w:tcW w:w="992" w:type="dxa"/>
            <w:vMerge/>
          </w:tcPr>
          <w:p w:rsidR="00854D6C" w:rsidRPr="007A3421" w:rsidRDefault="00854D6C" w:rsidP="002A3C6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854D6C" w:rsidRPr="00F865A8" w:rsidRDefault="00FB0C2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Verfahrenstechnik für Fortgeschrittene II</w:t>
            </w:r>
          </w:p>
        </w:tc>
        <w:tc>
          <w:tcPr>
            <w:tcW w:w="709" w:type="dxa"/>
          </w:tcPr>
          <w:p w:rsidR="00854D6C" w:rsidRDefault="00FB0C2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D6C" w:rsidRDefault="00FB0C2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44A63" w:rsidRPr="007A3421" w:rsidTr="00B42DEA">
        <w:trPr>
          <w:trHeight w:val="567"/>
        </w:trPr>
        <w:tc>
          <w:tcPr>
            <w:tcW w:w="992" w:type="dxa"/>
            <w:vMerge w:val="restart"/>
          </w:tcPr>
          <w:p w:rsidR="00444A63" w:rsidRPr="007A3421" w:rsidRDefault="00444A63" w:rsidP="002A3C6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444A63" w:rsidRDefault="00FB0C25" w:rsidP="00630759">
            <w:pPr>
              <w:spacing w:before="60" w:after="60"/>
              <w:ind w:left="5"/>
              <w:jc w:val="left"/>
            </w:pPr>
            <w:r>
              <w:t>Wahlmodul: Industrielles Scale-up und Produktdesign</w:t>
            </w:r>
          </w:p>
        </w:tc>
        <w:tc>
          <w:tcPr>
            <w:tcW w:w="709" w:type="dxa"/>
          </w:tcPr>
          <w:p w:rsidR="00444A63" w:rsidRDefault="00FB0C2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44A63" w:rsidRDefault="00FB0C2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E1D5B" w:rsidRPr="007A3421" w:rsidTr="00B42DEA">
        <w:trPr>
          <w:trHeight w:val="567"/>
        </w:trPr>
        <w:tc>
          <w:tcPr>
            <w:tcW w:w="992" w:type="dxa"/>
            <w:vMerge/>
          </w:tcPr>
          <w:p w:rsidR="005E1D5B" w:rsidRPr="007A3421" w:rsidRDefault="005E1D5B" w:rsidP="002A3C6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5E1D5B" w:rsidRDefault="005E1D5B" w:rsidP="005E1D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5E1D5B" w:rsidRDefault="005E1D5B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5E1D5B" w:rsidRDefault="005E1D5B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5E1D5B" w:rsidRPr="00F865A8" w:rsidRDefault="00FB0C25" w:rsidP="005E1D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Industrielles Scale-up und Produktdesign</w:t>
            </w:r>
          </w:p>
        </w:tc>
        <w:tc>
          <w:tcPr>
            <w:tcW w:w="709" w:type="dxa"/>
          </w:tcPr>
          <w:p w:rsidR="005E1D5B" w:rsidRDefault="00FB0C25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E1D5B" w:rsidRDefault="00FB0C25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44A63" w:rsidRPr="007A3421" w:rsidTr="00B42DEA">
        <w:trPr>
          <w:trHeight w:val="567"/>
        </w:trPr>
        <w:tc>
          <w:tcPr>
            <w:tcW w:w="992" w:type="dxa"/>
            <w:vMerge/>
          </w:tcPr>
          <w:p w:rsidR="00444A63" w:rsidRPr="007A3421" w:rsidRDefault="00444A63" w:rsidP="002A3C6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444A63" w:rsidRPr="00F865A8" w:rsidRDefault="00FB0C2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Industrielles Scale-up und Produktdesign</w:t>
            </w:r>
          </w:p>
        </w:tc>
        <w:tc>
          <w:tcPr>
            <w:tcW w:w="709" w:type="dxa"/>
          </w:tcPr>
          <w:p w:rsidR="00444A63" w:rsidRDefault="00FB0C2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44A63" w:rsidRDefault="00FB0C2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 w:val="restart"/>
          </w:tcPr>
          <w:p w:rsidR="00B27724" w:rsidRPr="007A3421" w:rsidRDefault="00B27724" w:rsidP="00A858C4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CF5AE6" w:rsidRDefault="00787522" w:rsidP="00EA289B">
            <w:pPr>
              <w:spacing w:before="60" w:after="60"/>
              <w:ind w:left="5"/>
              <w:jc w:val="left"/>
            </w:pPr>
            <w:r>
              <w:t>Wahlmodul: Textile Materialien</w:t>
            </w:r>
          </w:p>
        </w:tc>
        <w:tc>
          <w:tcPr>
            <w:tcW w:w="709" w:type="dxa"/>
          </w:tcPr>
          <w:p w:rsidR="00B27724" w:rsidRDefault="0078752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27724" w:rsidRDefault="0078752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/>
          </w:tcPr>
          <w:p w:rsidR="00B27724" w:rsidRPr="007A3421" w:rsidRDefault="00B27724" w:rsidP="00A858C4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D81D74" w:rsidRDefault="00787522" w:rsidP="00EA28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Chemie Textiler Materialien</w:t>
            </w:r>
          </w:p>
        </w:tc>
        <w:tc>
          <w:tcPr>
            <w:tcW w:w="709" w:type="dxa"/>
          </w:tcPr>
          <w:p w:rsidR="00B27724" w:rsidRDefault="0078752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27724" w:rsidRDefault="0078752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/>
          </w:tcPr>
          <w:p w:rsidR="00B27724" w:rsidRPr="007A3421" w:rsidRDefault="00B27724" w:rsidP="00A858C4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D81D74" w:rsidRDefault="00787522" w:rsidP="00EA28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Textilien und Verbundstoffe</w:t>
            </w:r>
          </w:p>
        </w:tc>
        <w:tc>
          <w:tcPr>
            <w:tcW w:w="709" w:type="dxa"/>
          </w:tcPr>
          <w:p w:rsidR="00B27724" w:rsidRDefault="0078752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787522" w:rsidRDefault="00787522" w:rsidP="007875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 w:val="restart"/>
          </w:tcPr>
          <w:p w:rsidR="00B27724" w:rsidRPr="007A3421" w:rsidRDefault="00B27724" w:rsidP="00A858C4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0B72AE" w:rsidRDefault="00C74DE7" w:rsidP="00EA289B">
            <w:pPr>
              <w:spacing w:before="60" w:after="60"/>
              <w:ind w:left="5"/>
              <w:jc w:val="left"/>
            </w:pPr>
            <w:r>
              <w:t>Wahlmodul: Farbmittel – Additive</w:t>
            </w:r>
          </w:p>
        </w:tc>
        <w:tc>
          <w:tcPr>
            <w:tcW w:w="709" w:type="dxa"/>
          </w:tcPr>
          <w:p w:rsidR="00B27724" w:rsidRDefault="00C74DE7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27724" w:rsidRDefault="00C74DE7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/>
          </w:tcPr>
          <w:p w:rsidR="00B27724" w:rsidRPr="007A3421" w:rsidRDefault="00B27724" w:rsidP="00A858C4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D81D74" w:rsidRDefault="00C74DE7" w:rsidP="00EA28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Farbstoffe, Pigmente, Additive</w:t>
            </w:r>
          </w:p>
        </w:tc>
        <w:tc>
          <w:tcPr>
            <w:tcW w:w="709" w:type="dxa"/>
          </w:tcPr>
          <w:p w:rsidR="00B27724" w:rsidRDefault="00C74DE7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27724" w:rsidRDefault="00C74DE7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F4FC1" w:rsidRPr="00DE302D" w:rsidTr="00B42DEA">
        <w:trPr>
          <w:trHeight w:val="567"/>
        </w:trPr>
        <w:tc>
          <w:tcPr>
            <w:tcW w:w="992" w:type="dxa"/>
            <w:vMerge/>
          </w:tcPr>
          <w:p w:rsidR="009F4FC1" w:rsidRPr="007A3421" w:rsidRDefault="009F4FC1" w:rsidP="00A858C4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9F4FC1" w:rsidRDefault="009F4FC1" w:rsidP="009F4F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9F4FC1" w:rsidRPr="00D81D74" w:rsidRDefault="00C74DE7" w:rsidP="009F4FC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Textile Materialien – Polymertechnologie</w:t>
            </w:r>
          </w:p>
        </w:tc>
        <w:tc>
          <w:tcPr>
            <w:tcW w:w="709" w:type="dxa"/>
          </w:tcPr>
          <w:p w:rsidR="009F4FC1" w:rsidRDefault="00C74DE7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4FC1" w:rsidRDefault="00C74DE7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 w:val="restart"/>
          </w:tcPr>
          <w:p w:rsidR="00B27724" w:rsidRPr="007A3421" w:rsidRDefault="00B27724" w:rsidP="00A858C4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CF5AE6" w:rsidRDefault="00EB3C27" w:rsidP="00EA289B">
            <w:pPr>
              <w:spacing w:before="60" w:after="60"/>
              <w:ind w:left="5"/>
              <w:jc w:val="left"/>
            </w:pPr>
            <w:r>
              <w:t>Wahlmodul: Lacktechnologie</w:t>
            </w:r>
          </w:p>
        </w:tc>
        <w:tc>
          <w:tcPr>
            <w:tcW w:w="709" w:type="dxa"/>
          </w:tcPr>
          <w:p w:rsidR="00B27724" w:rsidRDefault="00EB3C27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27724" w:rsidRDefault="00EB3C27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858C4" w:rsidRPr="00DE302D" w:rsidTr="00B42DEA">
        <w:trPr>
          <w:trHeight w:val="567"/>
        </w:trPr>
        <w:tc>
          <w:tcPr>
            <w:tcW w:w="992" w:type="dxa"/>
            <w:vMerge/>
          </w:tcPr>
          <w:p w:rsidR="00A858C4" w:rsidRPr="007A3421" w:rsidRDefault="00A858C4" w:rsidP="00A858C4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A858C4" w:rsidRDefault="00A858C4" w:rsidP="00A858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A858C4" w:rsidRDefault="00A858C4" w:rsidP="00A858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A858C4" w:rsidRDefault="00A858C4" w:rsidP="00A858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A858C4" w:rsidRPr="00E65F68" w:rsidRDefault="00EB3C27" w:rsidP="00A858C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Lacktechnologie</w:t>
            </w:r>
          </w:p>
        </w:tc>
        <w:tc>
          <w:tcPr>
            <w:tcW w:w="709" w:type="dxa"/>
          </w:tcPr>
          <w:p w:rsidR="00A858C4" w:rsidRDefault="00EB3C27" w:rsidP="00A858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858C4" w:rsidRDefault="00EB3C27" w:rsidP="00A858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/>
          </w:tcPr>
          <w:p w:rsidR="00B27724" w:rsidRPr="007A3421" w:rsidRDefault="00B27724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D81D74" w:rsidRDefault="00EB3C27" w:rsidP="00EA28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Formulierung und Ausprüfung von Lacken</w:t>
            </w:r>
          </w:p>
        </w:tc>
        <w:tc>
          <w:tcPr>
            <w:tcW w:w="709" w:type="dxa"/>
          </w:tcPr>
          <w:p w:rsidR="00B27724" w:rsidRDefault="009F4FC1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27724" w:rsidRDefault="009F4FC1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 w:val="restart"/>
          </w:tcPr>
          <w:p w:rsidR="00B27724" w:rsidRPr="007A3421" w:rsidRDefault="00B27724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CF5AE6" w:rsidRDefault="00C3261F" w:rsidP="00EA289B">
            <w:pPr>
              <w:spacing w:before="60" w:after="60"/>
              <w:ind w:left="5"/>
              <w:jc w:val="left"/>
            </w:pPr>
            <w:r>
              <w:t>Wahlmodul: Integrierendes Projekt</w:t>
            </w:r>
          </w:p>
        </w:tc>
        <w:tc>
          <w:tcPr>
            <w:tcW w:w="709" w:type="dxa"/>
          </w:tcPr>
          <w:p w:rsidR="00B27724" w:rsidRDefault="009F4FC1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27724" w:rsidRDefault="009F4FC1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/>
          </w:tcPr>
          <w:p w:rsidR="00B27724" w:rsidRPr="007A3421" w:rsidRDefault="00B27724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D81D74" w:rsidRDefault="00C3261F" w:rsidP="00EA28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Fallstudien zur Modellierung verfahrenstechnischer Prozesse</w:t>
            </w:r>
          </w:p>
        </w:tc>
        <w:tc>
          <w:tcPr>
            <w:tcW w:w="709" w:type="dxa"/>
          </w:tcPr>
          <w:p w:rsidR="00B27724" w:rsidRDefault="00C3261F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27724" w:rsidRDefault="00C3261F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F4FC1" w:rsidRPr="00DE302D" w:rsidTr="00B42DEA">
        <w:trPr>
          <w:trHeight w:val="567"/>
        </w:trPr>
        <w:tc>
          <w:tcPr>
            <w:tcW w:w="992" w:type="dxa"/>
            <w:vMerge/>
          </w:tcPr>
          <w:p w:rsidR="009F4FC1" w:rsidRPr="007A3421" w:rsidRDefault="009F4FC1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9F4FC1" w:rsidRDefault="009F4FC1" w:rsidP="009F4F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9F4FC1" w:rsidRPr="00D81D74" w:rsidRDefault="00C3261F" w:rsidP="009F4FC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Fallstudie</w:t>
            </w:r>
          </w:p>
        </w:tc>
        <w:tc>
          <w:tcPr>
            <w:tcW w:w="709" w:type="dxa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</w:tbl>
    <w:p w:rsidR="00681EBF" w:rsidRDefault="00681EBF">
      <w:r>
        <w:br w:type="page"/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808"/>
        <w:gridCol w:w="778"/>
        <w:gridCol w:w="787"/>
        <w:gridCol w:w="5952"/>
        <w:gridCol w:w="709"/>
        <w:gridCol w:w="709"/>
      </w:tblGrid>
      <w:tr w:rsidR="008F4AE9" w:rsidRPr="007A3421" w:rsidTr="00B42DEA">
        <w:trPr>
          <w:trHeight w:val="567"/>
        </w:trPr>
        <w:tc>
          <w:tcPr>
            <w:tcW w:w="992" w:type="dxa"/>
          </w:tcPr>
          <w:p w:rsidR="00B27724" w:rsidRPr="007A3421" w:rsidRDefault="00B27724" w:rsidP="002A3C6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Default="009C65CB" w:rsidP="00EA289B">
            <w:pPr>
              <w:spacing w:before="60" w:after="60"/>
              <w:ind w:left="5"/>
              <w:jc w:val="left"/>
            </w:pPr>
            <w:r>
              <w:t>Wahlmodul: Chemie-Querschnittskompetenzen A</w:t>
            </w:r>
          </w:p>
          <w:p w:rsidR="00B42DEA" w:rsidRDefault="00B42DEA" w:rsidP="00EA289B">
            <w:pPr>
              <w:spacing w:before="60" w:after="60"/>
              <w:ind w:left="5"/>
              <w:jc w:val="left"/>
            </w:pPr>
          </w:p>
          <w:p w:rsidR="00B42DEA" w:rsidRPr="00B42DEA" w:rsidRDefault="00B42DEA" w:rsidP="00EA289B">
            <w:pPr>
              <w:spacing w:before="60" w:after="60"/>
              <w:ind w:left="5"/>
              <w:jc w:val="left"/>
              <w:rPr>
                <w:i/>
              </w:rPr>
            </w:pPr>
            <w:r w:rsidRPr="00B42DEA">
              <w:rPr>
                <w:i/>
              </w:rPr>
              <w:t>Es sind nicht idente Lehrveranstaltungen aus den Masterstudien Chemie oder Material- und Nanowissenschaften der Universität Innsbruck im Umfang von 2,5 ECTS-AP zu wählen</w:t>
            </w:r>
            <w:r>
              <w:rPr>
                <w:i/>
              </w:rPr>
              <w:t>.</w:t>
            </w:r>
          </w:p>
          <w:p w:rsidR="00B42DEA" w:rsidRPr="00630759" w:rsidRDefault="00B42DEA" w:rsidP="00EA289B">
            <w:pPr>
              <w:spacing w:before="60" w:after="60"/>
              <w:ind w:left="5"/>
              <w:jc w:val="left"/>
            </w:pPr>
          </w:p>
        </w:tc>
        <w:tc>
          <w:tcPr>
            <w:tcW w:w="709" w:type="dxa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4" w:rsidRDefault="009C65CB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7A3421" w:rsidTr="00B42DEA">
        <w:trPr>
          <w:trHeight w:val="567"/>
        </w:trPr>
        <w:tc>
          <w:tcPr>
            <w:tcW w:w="992" w:type="dxa"/>
          </w:tcPr>
          <w:p w:rsidR="00B27724" w:rsidRPr="007A3421" w:rsidRDefault="00B27724" w:rsidP="002A3C6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Default="009C65CB" w:rsidP="00EA289B">
            <w:pPr>
              <w:spacing w:before="60" w:after="60"/>
              <w:ind w:left="5"/>
              <w:jc w:val="left"/>
            </w:pPr>
            <w:r>
              <w:t>Wahlmodul: Chemie-Querschnittskompetenzen B</w:t>
            </w:r>
          </w:p>
          <w:p w:rsidR="00B42DEA" w:rsidRDefault="00B42DEA" w:rsidP="00EA289B">
            <w:pPr>
              <w:spacing w:before="60" w:after="60"/>
              <w:ind w:left="5"/>
              <w:jc w:val="left"/>
            </w:pPr>
          </w:p>
          <w:p w:rsidR="00B42DEA" w:rsidRDefault="00B42DEA" w:rsidP="00EA289B">
            <w:pPr>
              <w:spacing w:before="60" w:after="60"/>
              <w:ind w:left="5"/>
              <w:jc w:val="left"/>
              <w:rPr>
                <w:i/>
              </w:rPr>
            </w:pPr>
            <w:r w:rsidRPr="00B42DEA">
              <w:rPr>
                <w:i/>
              </w:rPr>
              <w:t>Es sind nicht idente Lehrveranstaltungen aus den Masterstudien Chemie oder Material- und Nanowissenschaften der Universität Innsbruck im Umfang von 5 ECTS-AP zu wählen</w:t>
            </w:r>
            <w:r>
              <w:rPr>
                <w:i/>
              </w:rPr>
              <w:t>.</w:t>
            </w:r>
          </w:p>
          <w:p w:rsidR="00B42DEA" w:rsidRPr="00B42DEA" w:rsidRDefault="00B42DEA" w:rsidP="00EA289B">
            <w:pPr>
              <w:spacing w:before="60" w:after="60"/>
              <w:ind w:left="5"/>
              <w:jc w:val="left"/>
              <w:rPr>
                <w:i/>
              </w:rPr>
            </w:pPr>
          </w:p>
        </w:tc>
        <w:tc>
          <w:tcPr>
            <w:tcW w:w="709" w:type="dxa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4" w:rsidRDefault="009C65CB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 w:val="restart"/>
          </w:tcPr>
          <w:p w:rsidR="00B27724" w:rsidRPr="007A3421" w:rsidRDefault="00B27724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CF5AE6" w:rsidRDefault="009C65CB" w:rsidP="00EA289B">
            <w:pPr>
              <w:spacing w:before="60" w:after="60"/>
              <w:ind w:left="5"/>
              <w:jc w:val="left"/>
            </w:pPr>
            <w:r>
              <w:t>Wahlmodul: Geistiges Eigentum und regulatorische Rahmenbedingungen in der Chemie</w:t>
            </w:r>
          </w:p>
        </w:tc>
        <w:tc>
          <w:tcPr>
            <w:tcW w:w="709" w:type="dxa"/>
          </w:tcPr>
          <w:p w:rsidR="00B27724" w:rsidRDefault="009C65CB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27724" w:rsidRDefault="009C65CB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DE302D" w:rsidTr="00B42DEA">
        <w:trPr>
          <w:trHeight w:val="567"/>
        </w:trPr>
        <w:tc>
          <w:tcPr>
            <w:tcW w:w="992" w:type="dxa"/>
            <w:vMerge/>
          </w:tcPr>
          <w:p w:rsidR="00B27724" w:rsidRPr="007A3421" w:rsidRDefault="00B27724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D81D74" w:rsidRDefault="009C65CB" w:rsidP="00EA289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Geistiges Eigentum und regulatorische Rahmenbedingungen in der Chemie: Patent- und Chemikalienrecht</w:t>
            </w:r>
          </w:p>
        </w:tc>
        <w:tc>
          <w:tcPr>
            <w:tcW w:w="709" w:type="dxa"/>
          </w:tcPr>
          <w:p w:rsidR="00B27724" w:rsidRDefault="00B62EB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27724" w:rsidRDefault="00B62EB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75225" w:rsidRPr="00DE302D" w:rsidTr="00B42DEA">
        <w:trPr>
          <w:trHeight w:val="567"/>
        </w:trPr>
        <w:tc>
          <w:tcPr>
            <w:tcW w:w="992" w:type="dxa"/>
            <w:vMerge w:val="restart"/>
          </w:tcPr>
          <w:p w:rsidR="00F75225" w:rsidRPr="007A3421" w:rsidRDefault="00F75225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F75225" w:rsidRPr="000B72AE" w:rsidRDefault="00F75225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F75225" w:rsidRDefault="00F75225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F75225" w:rsidRDefault="00F75225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F75225" w:rsidRPr="000B72AE" w:rsidRDefault="00A60194" w:rsidP="00F75225">
            <w:pPr>
              <w:spacing w:before="60" w:after="60"/>
              <w:ind w:left="5"/>
              <w:jc w:val="left"/>
            </w:pPr>
            <w:r>
              <w:t>Wahlmodul: Projektmanagement</w:t>
            </w:r>
          </w:p>
        </w:tc>
        <w:tc>
          <w:tcPr>
            <w:tcW w:w="709" w:type="dxa"/>
          </w:tcPr>
          <w:p w:rsidR="00F75225" w:rsidRDefault="00A6019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75225" w:rsidRDefault="00A6019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75225" w:rsidRPr="00DE302D" w:rsidTr="00B42DEA">
        <w:trPr>
          <w:trHeight w:val="567"/>
        </w:trPr>
        <w:tc>
          <w:tcPr>
            <w:tcW w:w="992" w:type="dxa"/>
            <w:vMerge/>
          </w:tcPr>
          <w:p w:rsidR="00F75225" w:rsidRPr="007A3421" w:rsidRDefault="00F75225" w:rsidP="00F75225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F75225" w:rsidRDefault="00F75225" w:rsidP="00F7522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F75225" w:rsidRDefault="00F75225" w:rsidP="00F7522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F75225" w:rsidRDefault="00F75225" w:rsidP="00F7522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F75225" w:rsidRPr="00E65F68" w:rsidRDefault="00A60194" w:rsidP="00F7522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Projektmanagement</w:t>
            </w:r>
          </w:p>
        </w:tc>
        <w:tc>
          <w:tcPr>
            <w:tcW w:w="709" w:type="dxa"/>
          </w:tcPr>
          <w:p w:rsidR="00F75225" w:rsidRDefault="00A60194" w:rsidP="00F7522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75225" w:rsidRDefault="00A60194" w:rsidP="00F7522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7A3421" w:rsidTr="00B42DEA">
        <w:trPr>
          <w:trHeight w:val="567"/>
        </w:trPr>
        <w:tc>
          <w:tcPr>
            <w:tcW w:w="992" w:type="dxa"/>
          </w:tcPr>
          <w:p w:rsidR="00B27724" w:rsidRPr="007A3421" w:rsidRDefault="00B27724" w:rsidP="002A3C6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Default="004C34B6" w:rsidP="00EA289B">
            <w:pPr>
              <w:spacing w:before="60" w:after="60"/>
              <w:ind w:left="5"/>
              <w:jc w:val="left"/>
            </w:pPr>
            <w:r>
              <w:t>Wahlmodul: Interdisziplinäre Kompetenzen</w:t>
            </w:r>
          </w:p>
          <w:p w:rsidR="00B42DEA" w:rsidRDefault="00B42DEA" w:rsidP="00EA289B">
            <w:pPr>
              <w:spacing w:before="60" w:after="60"/>
              <w:ind w:left="5"/>
              <w:jc w:val="left"/>
            </w:pPr>
          </w:p>
          <w:p w:rsidR="004C34B6" w:rsidRPr="004C34B6" w:rsidRDefault="004C34B6" w:rsidP="004C34B6">
            <w:pPr>
              <w:spacing w:before="60" w:after="60"/>
              <w:ind w:left="5"/>
              <w:jc w:val="left"/>
              <w:rPr>
                <w:i/>
              </w:rPr>
            </w:pPr>
            <w:r w:rsidRPr="004C34B6">
              <w:rPr>
                <w:i/>
              </w:rPr>
              <w:t xml:space="preserve">Es können Lehrveranstaltungen im Umfang von 5 ECTS-AP nach Maßgabe freier Plätze aus den Curricula der an </w:t>
            </w:r>
            <w:r>
              <w:rPr>
                <w:i/>
              </w:rPr>
              <w:t>der Universität Innsbruck einge</w:t>
            </w:r>
            <w:r w:rsidRPr="004C34B6">
              <w:rPr>
                <w:i/>
              </w:rPr>
              <w:t>richteten Master- und/oder Diplomstudien frei gewählt werden. Besonders empfohlen wird der Besuch einer Lehrveranstaltung, bei der Genderaspekte samt den fachlichen Ergebnissen der Frauen- und Geschlechterforschung behandelt werden.</w:t>
            </w:r>
          </w:p>
        </w:tc>
        <w:tc>
          <w:tcPr>
            <w:tcW w:w="709" w:type="dxa"/>
          </w:tcPr>
          <w:p w:rsidR="00B27724" w:rsidRDefault="00B27724" w:rsidP="00EA289B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27724" w:rsidRDefault="004C34B6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F4AE9" w:rsidRPr="007A3421" w:rsidTr="00B42DEA">
        <w:trPr>
          <w:trHeight w:val="567"/>
        </w:trPr>
        <w:tc>
          <w:tcPr>
            <w:tcW w:w="992" w:type="dxa"/>
            <w:vMerge w:val="restart"/>
          </w:tcPr>
          <w:p w:rsidR="00B27724" w:rsidRPr="007A3421" w:rsidRDefault="00B27724" w:rsidP="002A3C6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630759" w:rsidRDefault="00146882" w:rsidP="00EA289B">
            <w:pPr>
              <w:spacing w:before="60" w:after="60"/>
              <w:ind w:left="5"/>
              <w:jc w:val="left"/>
            </w:pPr>
            <w:r>
              <w:t>Wahlmodul: EDV-unterstützte Datenbankrecherche</w:t>
            </w:r>
          </w:p>
        </w:tc>
        <w:tc>
          <w:tcPr>
            <w:tcW w:w="709" w:type="dxa"/>
          </w:tcPr>
          <w:p w:rsidR="00B27724" w:rsidRDefault="00693ED8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27724" w:rsidRDefault="00693ED8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7A3421" w:rsidTr="00B42DEA">
        <w:trPr>
          <w:trHeight w:val="567"/>
        </w:trPr>
        <w:tc>
          <w:tcPr>
            <w:tcW w:w="992" w:type="dxa"/>
            <w:vMerge/>
          </w:tcPr>
          <w:p w:rsidR="00B27724" w:rsidRPr="007A3421" w:rsidRDefault="00B27724" w:rsidP="002A3C6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B27724" w:rsidRPr="000B72AE" w:rsidRDefault="00B27724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B27724" w:rsidRDefault="00B27724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B27724" w:rsidRPr="00F865A8" w:rsidRDefault="00146882" w:rsidP="00A07E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EDV-unterstützte Datenbankrecherche</w:t>
            </w:r>
            <w:r w:rsidR="00A07E82">
              <w:t xml:space="preserve"> </w:t>
            </w:r>
          </w:p>
        </w:tc>
        <w:tc>
          <w:tcPr>
            <w:tcW w:w="709" w:type="dxa"/>
          </w:tcPr>
          <w:p w:rsidR="00B27724" w:rsidRDefault="00693ED8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27724" w:rsidRDefault="00693ED8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A4F97" w:rsidRPr="007A3421" w:rsidTr="00B42DEA">
        <w:trPr>
          <w:trHeight w:val="567"/>
        </w:trPr>
        <w:tc>
          <w:tcPr>
            <w:tcW w:w="992" w:type="dxa"/>
            <w:vMerge w:val="restart"/>
          </w:tcPr>
          <w:p w:rsidR="00CA4F97" w:rsidRPr="007A3421" w:rsidRDefault="00CA4F97" w:rsidP="002A3C60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CA4F97" w:rsidRDefault="00CA4F97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CA4F97" w:rsidRDefault="00CA4F97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CA4F97" w:rsidRDefault="00CA4F97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CA4F97" w:rsidRDefault="00A07E82" w:rsidP="00CA4F97">
            <w:pPr>
              <w:spacing w:before="60" w:after="60"/>
              <w:ind w:left="5"/>
              <w:jc w:val="left"/>
            </w:pPr>
            <w:r>
              <w:t>Wahlmodul: Messtechnik und EDV-unterstützte Experimentsteuerung</w:t>
            </w:r>
          </w:p>
        </w:tc>
        <w:tc>
          <w:tcPr>
            <w:tcW w:w="709" w:type="dxa"/>
          </w:tcPr>
          <w:p w:rsidR="00CA4F97" w:rsidRDefault="00A07E8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A4F97" w:rsidRDefault="00A07E82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CA4F97" w:rsidRPr="007A3421" w:rsidTr="00B42DEA">
        <w:trPr>
          <w:trHeight w:val="567"/>
        </w:trPr>
        <w:tc>
          <w:tcPr>
            <w:tcW w:w="992" w:type="dxa"/>
            <w:vMerge/>
          </w:tcPr>
          <w:p w:rsidR="00CA4F97" w:rsidRPr="007A3421" w:rsidRDefault="00CA4F97" w:rsidP="00CA4F97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CA4F97" w:rsidRDefault="00CA4F97" w:rsidP="00CA4F9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CA4F97" w:rsidRDefault="00CA4F97" w:rsidP="00CA4F9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CA4F97" w:rsidRDefault="00CA4F97" w:rsidP="00CA4F9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CA4F97" w:rsidRPr="00E65F68" w:rsidRDefault="00A07E82" w:rsidP="00CA4F9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Messtechnik und EDV-unterstützte Experimentsteuerung</w:t>
            </w:r>
          </w:p>
        </w:tc>
        <w:tc>
          <w:tcPr>
            <w:tcW w:w="709" w:type="dxa"/>
          </w:tcPr>
          <w:p w:rsidR="00CA4F97" w:rsidRDefault="00A07E82" w:rsidP="00CA4F9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A4F97" w:rsidRDefault="00A07E82" w:rsidP="00CA4F9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F6B69" w:rsidTr="00B42DEA">
        <w:trPr>
          <w:trHeight w:val="567"/>
        </w:trPr>
        <w:tc>
          <w:tcPr>
            <w:tcW w:w="992" w:type="dxa"/>
            <w:vMerge w:val="restart"/>
          </w:tcPr>
          <w:p w:rsidR="00DF6B69" w:rsidRPr="007A3421" w:rsidRDefault="00DF6B69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DF6B69" w:rsidRPr="000B72AE" w:rsidRDefault="00DF6B69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DF6B69" w:rsidRPr="00CF5AE6" w:rsidRDefault="00541F86" w:rsidP="00EA289B">
            <w:pPr>
              <w:spacing w:before="60" w:after="60"/>
              <w:ind w:left="5"/>
              <w:jc w:val="left"/>
            </w:pPr>
            <w:r>
              <w:t>Wahlmodul: Metall- und Keramikbearbeitung für Laboranwendungen</w:t>
            </w:r>
          </w:p>
        </w:tc>
        <w:tc>
          <w:tcPr>
            <w:tcW w:w="709" w:type="dxa"/>
          </w:tcPr>
          <w:p w:rsidR="00DF6B69" w:rsidRDefault="00541F86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F6B69" w:rsidRDefault="00541F86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F6B69" w:rsidTr="00B42DEA">
        <w:trPr>
          <w:trHeight w:val="567"/>
        </w:trPr>
        <w:tc>
          <w:tcPr>
            <w:tcW w:w="992" w:type="dxa"/>
            <w:vMerge/>
          </w:tcPr>
          <w:p w:rsidR="00DF6B69" w:rsidRPr="007A3421" w:rsidRDefault="00DF6B69" w:rsidP="002A3C60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08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DF6B69" w:rsidRPr="00DF6B69" w:rsidRDefault="00541F86" w:rsidP="00DF6B69">
            <w:pPr>
              <w:spacing w:before="60" w:after="60"/>
              <w:ind w:left="365"/>
              <w:jc w:val="left"/>
            </w:pPr>
            <w:r>
              <w:t>PR Metall- und Keramikbearbeitung für Laboranwendungen</w:t>
            </w:r>
          </w:p>
        </w:tc>
        <w:tc>
          <w:tcPr>
            <w:tcW w:w="709" w:type="dxa"/>
          </w:tcPr>
          <w:p w:rsidR="00DF6B69" w:rsidRDefault="00541F86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F6B69" w:rsidRDefault="00541F86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F6B69" w:rsidTr="00B42DEA">
        <w:trPr>
          <w:trHeight w:val="567"/>
        </w:trPr>
        <w:tc>
          <w:tcPr>
            <w:tcW w:w="992" w:type="dxa"/>
            <w:vMerge w:val="restart"/>
          </w:tcPr>
          <w:p w:rsidR="00DF6B69" w:rsidRPr="007A3421" w:rsidRDefault="00DF6B69" w:rsidP="002A3C6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DF6B69" w:rsidRPr="000B72AE" w:rsidRDefault="00DF6B69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DF6B69" w:rsidRPr="00CF5AE6" w:rsidRDefault="00541F86" w:rsidP="00EA289B">
            <w:pPr>
              <w:spacing w:before="60" w:after="60"/>
              <w:ind w:left="5"/>
              <w:jc w:val="left"/>
            </w:pPr>
            <w:r>
              <w:t>Wahlmodul: Glasbearbeitung für Laboranwendungen</w:t>
            </w:r>
          </w:p>
        </w:tc>
        <w:tc>
          <w:tcPr>
            <w:tcW w:w="709" w:type="dxa"/>
          </w:tcPr>
          <w:p w:rsidR="00DF6B69" w:rsidRDefault="00541F86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F6B69" w:rsidRDefault="00541F86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F6B69" w:rsidTr="00B42DEA">
        <w:trPr>
          <w:trHeight w:val="567"/>
        </w:trPr>
        <w:tc>
          <w:tcPr>
            <w:tcW w:w="992" w:type="dxa"/>
            <w:vMerge/>
          </w:tcPr>
          <w:p w:rsidR="00DF6B69" w:rsidRPr="007A3421" w:rsidRDefault="00DF6B69" w:rsidP="002A3C60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808" w:type="dxa"/>
            <w:shd w:val="clear" w:color="auto" w:fill="E6E6E6"/>
          </w:tcPr>
          <w:p w:rsidR="00DF6B69" w:rsidRPr="000B72AE" w:rsidRDefault="00DF6B69" w:rsidP="00EA289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7" w:type="dxa"/>
            <w:shd w:val="clear" w:color="auto" w:fill="E6E6E6"/>
          </w:tcPr>
          <w:p w:rsidR="00DF6B69" w:rsidRDefault="00DF6B69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2" w:type="dxa"/>
          </w:tcPr>
          <w:p w:rsidR="00DF6B69" w:rsidRPr="00CF5AE6" w:rsidRDefault="00541F86" w:rsidP="00DF6B69">
            <w:pPr>
              <w:spacing w:before="60" w:after="60"/>
              <w:ind w:left="365"/>
              <w:jc w:val="left"/>
            </w:pPr>
            <w:r>
              <w:t>PR Glasbearbeitung für Laboranwendungen</w:t>
            </w:r>
          </w:p>
        </w:tc>
        <w:tc>
          <w:tcPr>
            <w:tcW w:w="709" w:type="dxa"/>
          </w:tcPr>
          <w:p w:rsidR="00DF6B69" w:rsidRDefault="00541F86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F6B69" w:rsidRDefault="00541F86" w:rsidP="00EA289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E76961" w:rsidRDefault="00E76961" w:rsidP="00986102">
      <w:pPr>
        <w:jc w:val="left"/>
        <w:rPr>
          <w:b/>
          <w:sz w:val="21"/>
          <w:szCs w:val="21"/>
        </w:rPr>
      </w:pPr>
    </w:p>
    <w:p w:rsidR="00DF6B69" w:rsidRDefault="00DF6B69" w:rsidP="00986102">
      <w:pPr>
        <w:jc w:val="left"/>
        <w:rPr>
          <w:b/>
          <w:sz w:val="21"/>
          <w:szCs w:val="21"/>
        </w:rPr>
      </w:pPr>
    </w:p>
    <w:p w:rsidR="00DF6B69" w:rsidRDefault="00DF6B69" w:rsidP="00986102">
      <w:pPr>
        <w:jc w:val="left"/>
        <w:rPr>
          <w:b/>
          <w:sz w:val="21"/>
          <w:szCs w:val="21"/>
        </w:rPr>
      </w:pPr>
    </w:p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E76961" w:rsidRDefault="00E76961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4A377B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FA1CA0" w:rsidRDefault="00FA1CA0" w:rsidP="00847CE2">
            <w:pPr>
              <w:jc w:val="center"/>
            </w:pPr>
            <w:r w:rsidRPr="00FA1CA0">
              <w:t xml:space="preserve">Univ.-Prof. Dr.-Ing. Kai Olaf </w:t>
            </w:r>
            <w:r>
              <w:t>Langenbach</w:t>
            </w:r>
          </w:p>
        </w:tc>
      </w:tr>
    </w:tbl>
    <w:p w:rsidR="003F000C" w:rsidRPr="00FA1CA0" w:rsidRDefault="003F000C" w:rsidP="00BF1543">
      <w:pPr>
        <w:rPr>
          <w:sz w:val="20"/>
          <w:szCs w:val="20"/>
        </w:rPr>
      </w:pPr>
    </w:p>
    <w:sectPr w:rsidR="003F000C" w:rsidRPr="00FA1CA0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694" w:rsidRDefault="000E7694">
      <w:r>
        <w:separator/>
      </w:r>
    </w:p>
  </w:endnote>
  <w:endnote w:type="continuationSeparator" w:id="0">
    <w:p w:rsidR="000E7694" w:rsidRDefault="000E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694" w:rsidRDefault="000E7694">
      <w:r>
        <w:separator/>
      </w:r>
    </w:p>
  </w:footnote>
  <w:footnote w:type="continuationSeparator" w:id="0">
    <w:p w:rsidR="000E7694" w:rsidRDefault="000E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0E7694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BA55AC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</w:t>
          </w:r>
          <w:r w:rsidR="00BA55AC">
            <w:t>MA Chemieingenieurwissenschaften</w:t>
          </w:r>
        </w:p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75E45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75E45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0E7694" w:rsidRPr="00795A95" w:rsidRDefault="000E7694" w:rsidP="00C9437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C94377">
            <w:rPr>
              <w:rStyle w:val="Seitenzahl"/>
              <w:b/>
            </w:rPr>
            <w:t>03</w:t>
          </w:r>
          <w:r w:rsidR="001C41A3">
            <w:rPr>
              <w:rStyle w:val="Seitenzahl"/>
              <w:b/>
            </w:rPr>
            <w:t>.202</w:t>
          </w:r>
          <w:r w:rsidR="00C94377">
            <w:rPr>
              <w:rStyle w:val="Seitenzahl"/>
              <w:b/>
            </w:rPr>
            <w:t>4</w:t>
          </w:r>
        </w:p>
      </w:tc>
    </w:tr>
    <w:tr w:rsidR="000E7694">
      <w:tc>
        <w:tcPr>
          <w:tcW w:w="6120" w:type="dxa"/>
          <w:tcBorders>
            <w:top w:val="single" w:sz="4" w:space="0" w:color="auto"/>
          </w:tcBorders>
        </w:tcPr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0E7694" w:rsidRDefault="000E769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0E7694" w:rsidRPr="00A77B1F" w:rsidRDefault="000E769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EDC2E8FC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4383AEB"/>
    <w:multiLevelType w:val="hybridMultilevel"/>
    <w:tmpl w:val="05DC475A"/>
    <w:lvl w:ilvl="0" w:tplc="3EEAE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90703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3"/>
  </w:num>
  <w:num w:numId="7">
    <w:abstractNumId w:val="17"/>
  </w:num>
  <w:num w:numId="8">
    <w:abstractNumId w:val="13"/>
  </w:num>
  <w:num w:numId="9">
    <w:abstractNumId w:val="4"/>
  </w:num>
  <w:num w:numId="10">
    <w:abstractNumId w:val="24"/>
  </w:num>
  <w:num w:numId="11">
    <w:abstractNumId w:val="21"/>
  </w:num>
  <w:num w:numId="12">
    <w:abstractNumId w:val="1"/>
  </w:num>
  <w:num w:numId="13">
    <w:abstractNumId w:val="9"/>
  </w:num>
  <w:num w:numId="14">
    <w:abstractNumId w:val="15"/>
  </w:num>
  <w:num w:numId="15">
    <w:abstractNumId w:val="27"/>
  </w:num>
  <w:num w:numId="16">
    <w:abstractNumId w:val="7"/>
  </w:num>
  <w:num w:numId="17">
    <w:abstractNumId w:val="25"/>
  </w:num>
  <w:num w:numId="18">
    <w:abstractNumId w:val="12"/>
  </w:num>
  <w:num w:numId="19">
    <w:abstractNumId w:val="2"/>
  </w:num>
  <w:num w:numId="20">
    <w:abstractNumId w:val="8"/>
  </w:num>
  <w:num w:numId="21">
    <w:abstractNumId w:val="26"/>
  </w:num>
  <w:num w:numId="22">
    <w:abstractNumId w:val="22"/>
  </w:num>
  <w:num w:numId="23">
    <w:abstractNumId w:val="19"/>
  </w:num>
  <w:num w:numId="24">
    <w:abstractNumId w:val="11"/>
  </w:num>
  <w:num w:numId="25">
    <w:abstractNumId w:val="10"/>
  </w:num>
  <w:num w:numId="26">
    <w:abstractNumId w:val="3"/>
  </w:num>
  <w:num w:numId="27">
    <w:abstractNumId w:val="20"/>
  </w:num>
  <w:num w:numId="2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BGC2o8G0QpVXG5yuHDEiDU4d/Cj5+NrWQ52tXED2+SH14XhQNY20SgTNFAS4VXnKFvV7otDoGEZNZCOtlbVTw==" w:salt="jijVjeTZz9/sRVwJw3i06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11361"/>
    <w:rsid w:val="000205D1"/>
    <w:rsid w:val="000225EF"/>
    <w:rsid w:val="000227F2"/>
    <w:rsid w:val="00034B70"/>
    <w:rsid w:val="00040A0D"/>
    <w:rsid w:val="000416A7"/>
    <w:rsid w:val="00046364"/>
    <w:rsid w:val="00051305"/>
    <w:rsid w:val="00052404"/>
    <w:rsid w:val="000579DE"/>
    <w:rsid w:val="00060178"/>
    <w:rsid w:val="00062B3D"/>
    <w:rsid w:val="00066BC1"/>
    <w:rsid w:val="000724B6"/>
    <w:rsid w:val="000767FA"/>
    <w:rsid w:val="00082E80"/>
    <w:rsid w:val="00092443"/>
    <w:rsid w:val="00095210"/>
    <w:rsid w:val="000A3444"/>
    <w:rsid w:val="000A3D8E"/>
    <w:rsid w:val="000A78FC"/>
    <w:rsid w:val="000A7E7B"/>
    <w:rsid w:val="000B72AE"/>
    <w:rsid w:val="000D5493"/>
    <w:rsid w:val="000E09D0"/>
    <w:rsid w:val="000E7694"/>
    <w:rsid w:val="000F07A4"/>
    <w:rsid w:val="000F3815"/>
    <w:rsid w:val="000F61CC"/>
    <w:rsid w:val="000F6CC6"/>
    <w:rsid w:val="001007DC"/>
    <w:rsid w:val="00101D5D"/>
    <w:rsid w:val="001157CC"/>
    <w:rsid w:val="001328D0"/>
    <w:rsid w:val="001357B6"/>
    <w:rsid w:val="001362E7"/>
    <w:rsid w:val="00137B62"/>
    <w:rsid w:val="0014139E"/>
    <w:rsid w:val="001426F1"/>
    <w:rsid w:val="00146882"/>
    <w:rsid w:val="00150B10"/>
    <w:rsid w:val="001521CE"/>
    <w:rsid w:val="00154B69"/>
    <w:rsid w:val="00162069"/>
    <w:rsid w:val="00164A06"/>
    <w:rsid w:val="00167152"/>
    <w:rsid w:val="00167375"/>
    <w:rsid w:val="001706E2"/>
    <w:rsid w:val="00181450"/>
    <w:rsid w:val="00183EB4"/>
    <w:rsid w:val="001962B9"/>
    <w:rsid w:val="001A1AF2"/>
    <w:rsid w:val="001A2E1B"/>
    <w:rsid w:val="001C246E"/>
    <w:rsid w:val="001C350A"/>
    <w:rsid w:val="001C41A3"/>
    <w:rsid w:val="001D095B"/>
    <w:rsid w:val="001D3BD8"/>
    <w:rsid w:val="001E00FA"/>
    <w:rsid w:val="001E3A9E"/>
    <w:rsid w:val="001E3FF1"/>
    <w:rsid w:val="001F061F"/>
    <w:rsid w:val="001F1148"/>
    <w:rsid w:val="001F37C3"/>
    <w:rsid w:val="001F38F8"/>
    <w:rsid w:val="001F5B7E"/>
    <w:rsid w:val="001F7173"/>
    <w:rsid w:val="00203AF3"/>
    <w:rsid w:val="0021124C"/>
    <w:rsid w:val="002215FD"/>
    <w:rsid w:val="0022460E"/>
    <w:rsid w:val="00230958"/>
    <w:rsid w:val="002312F4"/>
    <w:rsid w:val="002425E2"/>
    <w:rsid w:val="00247810"/>
    <w:rsid w:val="00252E8D"/>
    <w:rsid w:val="002543C5"/>
    <w:rsid w:val="002640DA"/>
    <w:rsid w:val="00272918"/>
    <w:rsid w:val="00272D2D"/>
    <w:rsid w:val="00275E45"/>
    <w:rsid w:val="00276B76"/>
    <w:rsid w:val="0028085C"/>
    <w:rsid w:val="00284CF0"/>
    <w:rsid w:val="0028674C"/>
    <w:rsid w:val="00287EA9"/>
    <w:rsid w:val="00290BBB"/>
    <w:rsid w:val="00293B06"/>
    <w:rsid w:val="00294014"/>
    <w:rsid w:val="00297A82"/>
    <w:rsid w:val="002A3C60"/>
    <w:rsid w:val="002A6490"/>
    <w:rsid w:val="002B10FD"/>
    <w:rsid w:val="002B12BE"/>
    <w:rsid w:val="002B3431"/>
    <w:rsid w:val="002D7788"/>
    <w:rsid w:val="002E1029"/>
    <w:rsid w:val="002E269F"/>
    <w:rsid w:val="002E5111"/>
    <w:rsid w:val="002F27C4"/>
    <w:rsid w:val="002F4857"/>
    <w:rsid w:val="00307FA8"/>
    <w:rsid w:val="00317B84"/>
    <w:rsid w:val="00317B95"/>
    <w:rsid w:val="00322D20"/>
    <w:rsid w:val="00326743"/>
    <w:rsid w:val="00327DDC"/>
    <w:rsid w:val="003342B3"/>
    <w:rsid w:val="00334B95"/>
    <w:rsid w:val="00340C25"/>
    <w:rsid w:val="0035500D"/>
    <w:rsid w:val="00355756"/>
    <w:rsid w:val="00360119"/>
    <w:rsid w:val="003740A8"/>
    <w:rsid w:val="00375433"/>
    <w:rsid w:val="00376C87"/>
    <w:rsid w:val="003809F6"/>
    <w:rsid w:val="00381ED5"/>
    <w:rsid w:val="0038786F"/>
    <w:rsid w:val="003A29B8"/>
    <w:rsid w:val="003A5BA6"/>
    <w:rsid w:val="003B5A70"/>
    <w:rsid w:val="003B7DF9"/>
    <w:rsid w:val="003C0EDA"/>
    <w:rsid w:val="003C518A"/>
    <w:rsid w:val="003D02ED"/>
    <w:rsid w:val="003D0F58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471A5"/>
    <w:rsid w:val="0045017D"/>
    <w:rsid w:val="00453207"/>
    <w:rsid w:val="004542BE"/>
    <w:rsid w:val="00457495"/>
    <w:rsid w:val="00457E1F"/>
    <w:rsid w:val="00460E76"/>
    <w:rsid w:val="00463F2E"/>
    <w:rsid w:val="00473FF1"/>
    <w:rsid w:val="0048192E"/>
    <w:rsid w:val="004821AE"/>
    <w:rsid w:val="00486919"/>
    <w:rsid w:val="00495D91"/>
    <w:rsid w:val="004A377B"/>
    <w:rsid w:val="004A61C7"/>
    <w:rsid w:val="004B27B3"/>
    <w:rsid w:val="004C21B2"/>
    <w:rsid w:val="004C34B6"/>
    <w:rsid w:val="004D0C70"/>
    <w:rsid w:val="004D330A"/>
    <w:rsid w:val="004D4BE2"/>
    <w:rsid w:val="004E04C0"/>
    <w:rsid w:val="004E1F4C"/>
    <w:rsid w:val="004E408F"/>
    <w:rsid w:val="004F7589"/>
    <w:rsid w:val="0050328D"/>
    <w:rsid w:val="00503962"/>
    <w:rsid w:val="00503AC2"/>
    <w:rsid w:val="005103AD"/>
    <w:rsid w:val="0051162A"/>
    <w:rsid w:val="00513AA7"/>
    <w:rsid w:val="00514730"/>
    <w:rsid w:val="00516D9C"/>
    <w:rsid w:val="00517D2F"/>
    <w:rsid w:val="00526059"/>
    <w:rsid w:val="005374E9"/>
    <w:rsid w:val="00537F40"/>
    <w:rsid w:val="00541F86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6FED"/>
    <w:rsid w:val="005C748A"/>
    <w:rsid w:val="005D34B3"/>
    <w:rsid w:val="005E0B14"/>
    <w:rsid w:val="005E1D5B"/>
    <w:rsid w:val="005E6DEC"/>
    <w:rsid w:val="005F0FBA"/>
    <w:rsid w:val="005F2490"/>
    <w:rsid w:val="005F77CF"/>
    <w:rsid w:val="0060102F"/>
    <w:rsid w:val="00604FA0"/>
    <w:rsid w:val="00612E78"/>
    <w:rsid w:val="0061428D"/>
    <w:rsid w:val="006201A6"/>
    <w:rsid w:val="00623B21"/>
    <w:rsid w:val="00630759"/>
    <w:rsid w:val="0064508B"/>
    <w:rsid w:val="00661987"/>
    <w:rsid w:val="00661E40"/>
    <w:rsid w:val="006623D4"/>
    <w:rsid w:val="006663E4"/>
    <w:rsid w:val="00667D51"/>
    <w:rsid w:val="00671F8D"/>
    <w:rsid w:val="0067483C"/>
    <w:rsid w:val="00675BD6"/>
    <w:rsid w:val="00681C86"/>
    <w:rsid w:val="00681EBF"/>
    <w:rsid w:val="00693ED8"/>
    <w:rsid w:val="006941FB"/>
    <w:rsid w:val="00696CE4"/>
    <w:rsid w:val="006A212D"/>
    <w:rsid w:val="006A606E"/>
    <w:rsid w:val="006A798F"/>
    <w:rsid w:val="006B53E9"/>
    <w:rsid w:val="006C1B48"/>
    <w:rsid w:val="006C56D6"/>
    <w:rsid w:val="006D4E8F"/>
    <w:rsid w:val="006E0F18"/>
    <w:rsid w:val="006E61E4"/>
    <w:rsid w:val="006F0E0D"/>
    <w:rsid w:val="006F16B8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522"/>
    <w:rsid w:val="00787E83"/>
    <w:rsid w:val="0079396E"/>
    <w:rsid w:val="00795A95"/>
    <w:rsid w:val="007A3421"/>
    <w:rsid w:val="007B1082"/>
    <w:rsid w:val="007B3706"/>
    <w:rsid w:val="007B7DC8"/>
    <w:rsid w:val="007D3EDB"/>
    <w:rsid w:val="007E6540"/>
    <w:rsid w:val="007F01E8"/>
    <w:rsid w:val="007F027C"/>
    <w:rsid w:val="007F390E"/>
    <w:rsid w:val="008041A4"/>
    <w:rsid w:val="00807568"/>
    <w:rsid w:val="00811989"/>
    <w:rsid w:val="0081537D"/>
    <w:rsid w:val="0082214D"/>
    <w:rsid w:val="00842273"/>
    <w:rsid w:val="00847CE2"/>
    <w:rsid w:val="0085290F"/>
    <w:rsid w:val="00854D6C"/>
    <w:rsid w:val="008630AF"/>
    <w:rsid w:val="00864240"/>
    <w:rsid w:val="0086640E"/>
    <w:rsid w:val="008839CE"/>
    <w:rsid w:val="00885A43"/>
    <w:rsid w:val="0089004E"/>
    <w:rsid w:val="0089448E"/>
    <w:rsid w:val="00895263"/>
    <w:rsid w:val="008971F2"/>
    <w:rsid w:val="008A0F20"/>
    <w:rsid w:val="008A2050"/>
    <w:rsid w:val="008B1BE1"/>
    <w:rsid w:val="008B3241"/>
    <w:rsid w:val="008C6C01"/>
    <w:rsid w:val="008D2F77"/>
    <w:rsid w:val="008D34F8"/>
    <w:rsid w:val="008D6A39"/>
    <w:rsid w:val="008E4C53"/>
    <w:rsid w:val="008E6B35"/>
    <w:rsid w:val="008E797B"/>
    <w:rsid w:val="008E7A02"/>
    <w:rsid w:val="008F4AE9"/>
    <w:rsid w:val="009020C0"/>
    <w:rsid w:val="00914479"/>
    <w:rsid w:val="00920070"/>
    <w:rsid w:val="00924133"/>
    <w:rsid w:val="00936883"/>
    <w:rsid w:val="009433BA"/>
    <w:rsid w:val="00944D3C"/>
    <w:rsid w:val="009457AA"/>
    <w:rsid w:val="0094707A"/>
    <w:rsid w:val="0095095A"/>
    <w:rsid w:val="009509FF"/>
    <w:rsid w:val="0096008D"/>
    <w:rsid w:val="009615C2"/>
    <w:rsid w:val="0096324E"/>
    <w:rsid w:val="0096657E"/>
    <w:rsid w:val="00966C08"/>
    <w:rsid w:val="00972B50"/>
    <w:rsid w:val="00976A15"/>
    <w:rsid w:val="009813BA"/>
    <w:rsid w:val="00986102"/>
    <w:rsid w:val="009B01E7"/>
    <w:rsid w:val="009B4224"/>
    <w:rsid w:val="009B4D52"/>
    <w:rsid w:val="009C65CB"/>
    <w:rsid w:val="009D08AE"/>
    <w:rsid w:val="009D777E"/>
    <w:rsid w:val="009F4FC1"/>
    <w:rsid w:val="00A03AE6"/>
    <w:rsid w:val="00A04F2B"/>
    <w:rsid w:val="00A06843"/>
    <w:rsid w:val="00A07E82"/>
    <w:rsid w:val="00A11CC7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0194"/>
    <w:rsid w:val="00A62270"/>
    <w:rsid w:val="00A77B1F"/>
    <w:rsid w:val="00A81553"/>
    <w:rsid w:val="00A82F8B"/>
    <w:rsid w:val="00A849B3"/>
    <w:rsid w:val="00A858C4"/>
    <w:rsid w:val="00A87D9C"/>
    <w:rsid w:val="00A90290"/>
    <w:rsid w:val="00A91A83"/>
    <w:rsid w:val="00A9434F"/>
    <w:rsid w:val="00AA3726"/>
    <w:rsid w:val="00AA45A7"/>
    <w:rsid w:val="00AA79B7"/>
    <w:rsid w:val="00AB4737"/>
    <w:rsid w:val="00AD4263"/>
    <w:rsid w:val="00AD6D1D"/>
    <w:rsid w:val="00AD79BF"/>
    <w:rsid w:val="00AE0FEF"/>
    <w:rsid w:val="00AE2165"/>
    <w:rsid w:val="00AE38F8"/>
    <w:rsid w:val="00AF1C54"/>
    <w:rsid w:val="00AF6FAA"/>
    <w:rsid w:val="00B011EA"/>
    <w:rsid w:val="00B07278"/>
    <w:rsid w:val="00B13DF2"/>
    <w:rsid w:val="00B20F06"/>
    <w:rsid w:val="00B24732"/>
    <w:rsid w:val="00B25C32"/>
    <w:rsid w:val="00B2672A"/>
    <w:rsid w:val="00B27724"/>
    <w:rsid w:val="00B343DF"/>
    <w:rsid w:val="00B36E4F"/>
    <w:rsid w:val="00B42DEA"/>
    <w:rsid w:val="00B5032F"/>
    <w:rsid w:val="00B5795A"/>
    <w:rsid w:val="00B60016"/>
    <w:rsid w:val="00B62EB2"/>
    <w:rsid w:val="00B6465B"/>
    <w:rsid w:val="00B72B9B"/>
    <w:rsid w:val="00B72E3D"/>
    <w:rsid w:val="00B75AD7"/>
    <w:rsid w:val="00B800D0"/>
    <w:rsid w:val="00B87AEE"/>
    <w:rsid w:val="00B951CD"/>
    <w:rsid w:val="00B95D80"/>
    <w:rsid w:val="00B9738C"/>
    <w:rsid w:val="00BA0853"/>
    <w:rsid w:val="00BA55AC"/>
    <w:rsid w:val="00BB0243"/>
    <w:rsid w:val="00BB0A6A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17E63"/>
    <w:rsid w:val="00C2033F"/>
    <w:rsid w:val="00C2211F"/>
    <w:rsid w:val="00C3261F"/>
    <w:rsid w:val="00C3309B"/>
    <w:rsid w:val="00C339FD"/>
    <w:rsid w:val="00C41DEE"/>
    <w:rsid w:val="00C44719"/>
    <w:rsid w:val="00C47BBA"/>
    <w:rsid w:val="00C55332"/>
    <w:rsid w:val="00C60915"/>
    <w:rsid w:val="00C74DE7"/>
    <w:rsid w:val="00C83E8E"/>
    <w:rsid w:val="00C8576F"/>
    <w:rsid w:val="00C860D4"/>
    <w:rsid w:val="00C93C1F"/>
    <w:rsid w:val="00C94377"/>
    <w:rsid w:val="00C95BA9"/>
    <w:rsid w:val="00C964C4"/>
    <w:rsid w:val="00CA4F97"/>
    <w:rsid w:val="00CB2050"/>
    <w:rsid w:val="00CB6F0F"/>
    <w:rsid w:val="00CC0E2A"/>
    <w:rsid w:val="00CC1E2D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3863"/>
    <w:rsid w:val="00D54853"/>
    <w:rsid w:val="00D6207A"/>
    <w:rsid w:val="00D653D0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DF6B69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76961"/>
    <w:rsid w:val="00E81B24"/>
    <w:rsid w:val="00E851AF"/>
    <w:rsid w:val="00E87228"/>
    <w:rsid w:val="00EA7876"/>
    <w:rsid w:val="00EB11FD"/>
    <w:rsid w:val="00EB3C27"/>
    <w:rsid w:val="00EB4587"/>
    <w:rsid w:val="00EB6190"/>
    <w:rsid w:val="00EB74E4"/>
    <w:rsid w:val="00ED3ED7"/>
    <w:rsid w:val="00EE03CA"/>
    <w:rsid w:val="00EE42D4"/>
    <w:rsid w:val="00EF77B7"/>
    <w:rsid w:val="00F0212C"/>
    <w:rsid w:val="00F02672"/>
    <w:rsid w:val="00F04135"/>
    <w:rsid w:val="00F05076"/>
    <w:rsid w:val="00F1589E"/>
    <w:rsid w:val="00F175DC"/>
    <w:rsid w:val="00F23B34"/>
    <w:rsid w:val="00F32B4C"/>
    <w:rsid w:val="00F37B9D"/>
    <w:rsid w:val="00F4147F"/>
    <w:rsid w:val="00F43842"/>
    <w:rsid w:val="00F47698"/>
    <w:rsid w:val="00F56142"/>
    <w:rsid w:val="00F640A1"/>
    <w:rsid w:val="00F75225"/>
    <w:rsid w:val="00F82A6F"/>
    <w:rsid w:val="00F84525"/>
    <w:rsid w:val="00F84621"/>
    <w:rsid w:val="00F865A8"/>
    <w:rsid w:val="00F868E3"/>
    <w:rsid w:val="00F903E0"/>
    <w:rsid w:val="00F90C11"/>
    <w:rsid w:val="00F90D09"/>
    <w:rsid w:val="00F93D94"/>
    <w:rsid w:val="00FA1736"/>
    <w:rsid w:val="00FA1A30"/>
    <w:rsid w:val="00FA1CA0"/>
    <w:rsid w:val="00FA2174"/>
    <w:rsid w:val="00FA27B0"/>
    <w:rsid w:val="00FA2D19"/>
    <w:rsid w:val="00FB07D4"/>
    <w:rsid w:val="00FB0C25"/>
    <w:rsid w:val="00FB3BF6"/>
    <w:rsid w:val="00FB5B95"/>
    <w:rsid w:val="00FB6E3B"/>
    <w:rsid w:val="00FC3A24"/>
    <w:rsid w:val="00FC4D00"/>
    <w:rsid w:val="00FC51C5"/>
    <w:rsid w:val="00FD5CF3"/>
    <w:rsid w:val="00FE1175"/>
    <w:rsid w:val="00FE7090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3CC61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3280-FA56-4465-A70C-375BB44D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1285</Words>
  <Characters>8096</Characters>
  <Application>Microsoft Office Word</Application>
  <DocSecurity>4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2021-07-27T14:04:00Z</cp:lastPrinted>
  <dcterms:created xsi:type="dcterms:W3CDTF">2024-03-26T14:08:00Z</dcterms:created>
  <dcterms:modified xsi:type="dcterms:W3CDTF">2024-03-26T14:08:00Z</dcterms:modified>
</cp:coreProperties>
</file>