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F74646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F7464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F7464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F7464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F74646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F7464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F7464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F74646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7109D2">
        <w:t>Master</w:t>
      </w:r>
      <w:r w:rsidR="00A6222C">
        <w:t>studium</w:t>
      </w:r>
      <w:r w:rsidR="007109D2">
        <w:t xml:space="preserve"> Biomedical Life Sciences</w:t>
      </w:r>
      <w:r w:rsidR="00A6222C">
        <w:t xml:space="preserve">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7109D2">
        <w:t xml:space="preserve"> für Biologie</w:t>
      </w:r>
      <w:r w:rsidR="009D5659">
        <w:t xml:space="preserve"> der</w:t>
      </w:r>
      <w:r w:rsidR="008D3B20">
        <w:t xml:space="preserve">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7109D2">
        <w:t>17</w:t>
      </w:r>
      <w:r w:rsidR="003714E3">
        <w:t>.</w:t>
      </w:r>
      <w:r w:rsidR="004D7C41">
        <w:t xml:space="preserve"> </w:t>
      </w:r>
      <w:r w:rsidR="00C8690F">
        <w:t xml:space="preserve">April </w:t>
      </w:r>
      <w:r w:rsidR="007109D2">
        <w:t>2025</w:t>
      </w:r>
      <w:r w:rsidR="008D3B20">
        <w:t>,</w:t>
      </w:r>
      <w:r w:rsidR="00121A9F">
        <w:t xml:space="preserve"> 57. </w:t>
      </w:r>
      <w:r w:rsidR="007109D2">
        <w:t>Stück, Nr. 550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2"/>
        <w:gridCol w:w="7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431B3E" w:rsidRDefault="00431B3E" w:rsidP="00431B3E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</w:t>
            </w:r>
            <w:r w:rsidRPr="00431B3E">
              <w:rPr>
                <w:b/>
              </w:rPr>
              <w:t>Masterstudium Biomedical Life Sciences</w:t>
            </w:r>
            <w:r>
              <w:rPr>
                <w:b/>
              </w:rPr>
              <w:t xml:space="preserve"> </w:t>
            </w:r>
            <w:r w:rsidRPr="004D56EA">
              <w:rPr>
                <w:b/>
              </w:rPr>
              <w:t>anzuerkennen als:</w:t>
            </w: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D25380" w:rsidRDefault="007C1A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Pflichtmodul: Aktuelle Themen und Methoden der biomedizinischen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D25380" w:rsidRDefault="007C1A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D25380" w:rsidRDefault="007C1AF4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7C1AF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Aktuelle Themen in der biomedizinischen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520B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520B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7C1AF4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AG Methoden und experimentelle Planung in der biomedizinischen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7C1AF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7C1AF4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615F2E" w:rsidRPr="00D25380" w:rsidRDefault="007C1AF4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Pflichtmodul: Anleitung zu wissenschaftlichem Arbeiten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615F2E" w:rsidRPr="00D25380" w:rsidRDefault="007C1A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D25380" w:rsidRDefault="007C1AF4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17,5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7C1AF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Anleitung zu wissenschaftlichem Arbeiten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C1AF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C1AF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7C1AF4" w:rsidP="00FB33F7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Pflichtmodul: Verteidigung der Masterarbeit (Defensio)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D25380" w:rsidRDefault="007C1AF4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2,5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7C1AF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Präsentation und mündliche Verteidigung der Masterarbeit vor einem Prüfungssenat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C1AF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31B3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431B3E" w:rsidRDefault="00431B3E" w:rsidP="00431B3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31B3E" w:rsidRDefault="00431B3E" w:rsidP="002111B6">
            <w:pPr>
              <w:spacing w:before="60" w:after="60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31B3E" w:rsidRDefault="00431B3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31B3E" w:rsidRDefault="00431B3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3E" w:rsidRDefault="00431B3E" w:rsidP="00431B3E">
            <w:r w:rsidRPr="00FC750E">
              <w:rPr>
                <w:i/>
              </w:rPr>
              <w:t>Wahlmodule im Umfang von</w:t>
            </w:r>
            <w:r>
              <w:rPr>
                <w:i/>
              </w:rPr>
              <w:t xml:space="preserve"> 67,5 </w:t>
            </w:r>
            <w:r w:rsidRPr="00FC750E">
              <w:rPr>
                <w:i/>
              </w:rPr>
              <w:t>ECTS-Anrechnungspunkten gemäß §</w:t>
            </w:r>
            <w:r>
              <w:rPr>
                <w:i/>
              </w:rPr>
              <w:t xml:space="preserve"> 8</w:t>
            </w:r>
            <w:r w:rsidRPr="00FC750E">
              <w:rPr>
                <w:i/>
              </w:rPr>
              <w:t xml:space="preserve"> Abs.</w:t>
            </w:r>
            <w:r>
              <w:rPr>
                <w:i/>
              </w:rPr>
              <w:t xml:space="preserve"> 2</w:t>
            </w:r>
            <w:r w:rsidRPr="00FC750E">
              <w:rPr>
                <w:i/>
              </w:rPr>
              <w:t xml:space="preserve"> des Curriculums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3E" w:rsidRDefault="00431B3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3E" w:rsidRDefault="00431B3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431B3E" w:rsidP="00431B3E">
            <w:pPr>
              <w:spacing w:before="60" w:after="60"/>
              <w:jc w:val="left"/>
            </w:pPr>
            <w:r>
              <w:t>1.</w:t>
            </w:r>
            <w:r w:rsidR="00807074"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7C1AF4" w:rsidP="00BD2293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Grundlagen der Bioinformatik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6D4E8F" w:rsidRPr="00D25380" w:rsidRDefault="007C1AF4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D25380" w:rsidRDefault="007C1AF4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7C1AF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Bioinformatik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7A02" w:rsidRDefault="007C1AF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7C1AF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7C1AF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Bioinformatik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C1AF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C1AF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7C1AF4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der Bioinformatik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C1AF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7C1AF4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431B3E">
            <w:pPr>
              <w:spacing w:before="60" w:after="60"/>
              <w:jc w:val="left"/>
            </w:pPr>
            <w:r>
              <w:br w:type="page"/>
            </w:r>
            <w:r w:rsidR="00431B3E">
              <w:t>2.</w:t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F74646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Bioinformatische Analyse von Transkriptomikdaten</w:t>
            </w:r>
          </w:p>
        </w:tc>
        <w:tc>
          <w:tcPr>
            <w:tcW w:w="709" w:type="dxa"/>
            <w:gridSpan w:val="2"/>
          </w:tcPr>
          <w:p w:rsidR="00FD672B" w:rsidRPr="00D25380" w:rsidRDefault="00F7464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D672B" w:rsidRPr="00D25380" w:rsidRDefault="00F7464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7464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Hochdurchsatz-Transkriptomik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CF79FE" w:rsidRPr="00D81D74" w:rsidRDefault="00F74646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Computergestützte Analyse von Transkriptomikdaten</w:t>
            </w:r>
          </w:p>
        </w:tc>
        <w:tc>
          <w:tcPr>
            <w:tcW w:w="709" w:type="dxa"/>
            <w:gridSpan w:val="2"/>
          </w:tcPr>
          <w:p w:rsidR="00CF79FE" w:rsidRDefault="00F7464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CF79FE" w:rsidRDefault="00F7464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431B3E" w:rsidP="00431B3E">
            <w:pPr>
              <w:spacing w:before="60" w:after="60"/>
              <w:jc w:val="left"/>
            </w:pPr>
            <w:r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F74646" w:rsidP="00CF5AE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Genomweite Technologien der Biologie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F1EF1" w:rsidRPr="00D25380" w:rsidRDefault="00F7464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D25380" w:rsidRDefault="00F74646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7464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Genomweite Technologien der Biologie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7464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Aspekte genomweiter Technologien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D81D74" w:rsidRDefault="00F7464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genomweiter Technologien</w:t>
            </w:r>
          </w:p>
        </w:tc>
        <w:tc>
          <w:tcPr>
            <w:tcW w:w="709" w:type="dxa"/>
            <w:gridSpan w:val="2"/>
          </w:tcPr>
          <w:p w:rsidR="00EF1EF1" w:rsidRDefault="00F7464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F1EF1" w:rsidRDefault="00F7464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431B3E">
            <w:pPr>
              <w:spacing w:before="60" w:after="60"/>
              <w:jc w:val="left"/>
            </w:pPr>
            <w:r>
              <w:br w:type="page"/>
            </w:r>
            <w:r w:rsidR="00EF1EF1">
              <w:br w:type="page"/>
            </w:r>
            <w:r w:rsidR="00431B3E">
              <w:t>4.</w:t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F74646" w:rsidP="00CF5AE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Single-Cell-Methoden</w:t>
            </w:r>
          </w:p>
        </w:tc>
        <w:tc>
          <w:tcPr>
            <w:tcW w:w="709" w:type="dxa"/>
            <w:gridSpan w:val="2"/>
          </w:tcPr>
          <w:p w:rsidR="00EF1EF1" w:rsidRPr="00D25380" w:rsidRDefault="00F7464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F1EF1" w:rsidRPr="00D25380" w:rsidRDefault="00F7464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7464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Single-Cell-Methoden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7464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Single-Cell-Biologie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F7464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der Single-Cell-Biologie</w:t>
            </w:r>
          </w:p>
        </w:tc>
        <w:tc>
          <w:tcPr>
            <w:tcW w:w="709" w:type="dxa"/>
            <w:gridSpan w:val="2"/>
          </w:tcPr>
          <w:p w:rsidR="00EF1EF1" w:rsidRDefault="00F7464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F1EF1" w:rsidRDefault="00F7464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431B3E" w:rsidP="00431B3E">
            <w:pPr>
              <w:spacing w:before="60" w:after="60"/>
              <w:jc w:val="left"/>
            </w:pPr>
            <w:r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F74646" w:rsidP="00A87D9C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Computergestützte Modellierung in der Zell- und Entwicklungsbiologie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655FF" w:rsidRPr="00D25380" w:rsidRDefault="00F7464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D25380" w:rsidRDefault="00F7464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7464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Modelle und Simulation von dynamischen biologischen Prozessen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F74646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und Methoden in der biologischen Modellbildung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F7464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655FF" w:rsidRPr="00DE302D" w:rsidTr="00B574E4">
        <w:trPr>
          <w:trHeight w:val="510"/>
        </w:trPr>
        <w:tc>
          <w:tcPr>
            <w:tcW w:w="846" w:type="dxa"/>
            <w:vMerge/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655FF" w:rsidRPr="00D81D74" w:rsidRDefault="00F7464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Simulation und Machine Learning in der Zell- und Entwicklungsbiologie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655FF" w:rsidRDefault="00F7464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55FF" w:rsidRDefault="00F7464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431B3E" w:rsidP="00431B3E">
            <w:pPr>
              <w:spacing w:before="60" w:after="60"/>
              <w:jc w:val="left"/>
            </w:pPr>
            <w:r>
              <w:t>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D25380" w:rsidRDefault="00F74646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Computergestützte Strukturbiologie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4285" w:rsidRPr="00D25380" w:rsidRDefault="00F74646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D25380" w:rsidRDefault="00F74646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F74646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Theoretische Grundlagen der computergestützten Strukturbiologie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F7464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F7464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F74646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computergestützten Strukturbiologie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F7464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F74646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/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F74646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der computergestützten Strukturbiologie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4285" w:rsidRDefault="00F7464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F74646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31B3E" w:rsidP="00431B3E">
            <w:pPr>
              <w:spacing w:before="60" w:after="60"/>
              <w:jc w:val="left"/>
            </w:pPr>
            <w:r>
              <w:t>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Pr="00D25380" w:rsidRDefault="00F74646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Quantitative Bildanalyseverfahren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44A63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F74646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Konzepte und Methoden der Bildanalyse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F74646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F74646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74646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Entwicklungen in der Bildanalyse</w:t>
            </w:r>
          </w:p>
        </w:tc>
        <w:tc>
          <w:tcPr>
            <w:tcW w:w="709" w:type="dxa"/>
            <w:gridSpan w:val="2"/>
          </w:tcPr>
          <w:p w:rsidR="00CF79FE" w:rsidRDefault="00F7464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F79FE" w:rsidRDefault="00F74646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444A63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F865A8" w:rsidRDefault="00F7464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Anwendung und Programmierung von Bildanalysewerkzeugen</w:t>
            </w:r>
          </w:p>
        </w:tc>
        <w:tc>
          <w:tcPr>
            <w:tcW w:w="709" w:type="dxa"/>
            <w:gridSpan w:val="2"/>
          </w:tcPr>
          <w:p w:rsidR="00444A63" w:rsidRDefault="00F746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44A63" w:rsidRDefault="00F746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9A6D8E" w:rsidRPr="007A3421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431B3E">
            <w:pPr>
              <w:spacing w:before="60" w:after="60"/>
              <w:jc w:val="left"/>
            </w:pPr>
            <w:r>
              <w:br w:type="page"/>
            </w:r>
            <w:r w:rsidR="00431B3E">
              <w:t>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F74646" w:rsidP="00F7464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D25380">
              <w:rPr>
                <w:b/>
              </w:rPr>
              <w:t>Wahlmodul: Organisation, Funktion und pathologische Veränderungen von Geweben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F74646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Organisation, Funktion und pathologische Veränderungen von Geweben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7464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7464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F74646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Organisation, Funktion und pathologische Veränderungen von Geweben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7464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7464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F74646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Organisation, Funktion und pathologische Veränderungen von Geweben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7464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F74646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307FA8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431B3E" w:rsidP="00431B3E">
            <w:pPr>
              <w:spacing w:before="60" w:after="60"/>
              <w:jc w:val="left"/>
            </w:pPr>
            <w:r>
              <w:t>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307FA8" w:rsidRPr="00D25380" w:rsidRDefault="00F74646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Live Cell Imaging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7FA8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7FA8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F74646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Live Cell Imaging und Fluoreszenz-Techniken in der Mikroskopie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74646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74646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93E33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93E33" w:rsidRPr="007A3421" w:rsidRDefault="00F93E33" w:rsidP="00F93E3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Pr="000B72AE" w:rsidRDefault="00F93E33" w:rsidP="00F93E3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93E33" w:rsidRDefault="00F93E33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Pr="00FB5B95" w:rsidRDefault="00F74646" w:rsidP="00F93E3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Live Cell Imaging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74646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3" w:rsidRDefault="00F74646" w:rsidP="00F93E3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157CC" w:rsidRPr="007A3421" w:rsidTr="00D96EA5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157CC" w:rsidRPr="007A3421" w:rsidRDefault="001157CC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1157CC" w:rsidRPr="00F865A8" w:rsidRDefault="00F74646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Live Cell Imaging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157CC" w:rsidRDefault="00F746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157CC" w:rsidRDefault="00F746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9A6D8E" w:rsidRPr="007A3421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431B3E">
            <w:pPr>
              <w:spacing w:before="60" w:after="60"/>
              <w:jc w:val="left"/>
            </w:pPr>
            <w:r>
              <w:br w:type="page"/>
            </w:r>
            <w:r w:rsidR="00431B3E">
              <w:t>10.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25380" w:rsidRDefault="00F74646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Genetische und optogenetische Methoden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A6D8E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D25380" w:rsidRDefault="00F74646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94437D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94437D" w:rsidRDefault="0094437D" w:rsidP="0094437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Pr="000B72AE" w:rsidRDefault="0094437D" w:rsidP="0094437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437D" w:rsidRDefault="0094437D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Pr="00FB5B95" w:rsidRDefault="00F74646" w:rsidP="0094437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Genetische und optogenetische Ansätze in der biomedizinischen Forschung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F74646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D" w:rsidRDefault="00F74646" w:rsidP="009443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F865A8" w:rsidRDefault="00F74646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Publikationen zur Genetik und Optogenetik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F746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F7464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9A6D8E" w:rsidRPr="00040A0D" w:rsidRDefault="00F74646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Genetische und optogenetische Anwendungen im Modellorganismus Zebrafisch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6D8E" w:rsidRDefault="0086610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6D8E" w:rsidRDefault="0086610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9A6D8E" w:rsidRPr="007A3421" w:rsidRDefault="009A6D8E" w:rsidP="00431B3E">
            <w:pPr>
              <w:spacing w:before="60" w:after="60"/>
              <w:jc w:val="left"/>
            </w:pPr>
            <w:r>
              <w:br w:type="page"/>
            </w:r>
            <w:r w:rsidR="00431B3E"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D25380" w:rsidRDefault="0086610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Mechanobiologie in Entwicklung und Krankheit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D25380" w:rsidRDefault="0086610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D8E" w:rsidRPr="00D25380" w:rsidRDefault="0086610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0B5FC6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0B5FC6" w:rsidRDefault="000B5FC6" w:rsidP="000B5FC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Pr="000B72AE" w:rsidRDefault="000B5FC6" w:rsidP="000B5F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FC6" w:rsidRDefault="000B5FC6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Pr="00FB5B95" w:rsidRDefault="00866105" w:rsidP="000B5FC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Grundlagen, Konzepte und Methoden der Mechanobiologie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866105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C6" w:rsidRDefault="00866105" w:rsidP="000B5F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CF79FE" w:rsidRPr="00F865A8" w:rsidRDefault="00866105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und Methoden in der Mechanobiologie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CF79FE" w:rsidRDefault="0086610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CF79FE" w:rsidRDefault="00866105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  <w:tcBorders>
              <w:right w:val="single" w:sz="6" w:space="0" w:color="auto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6" w:space="0" w:color="auto"/>
            </w:tcBorders>
          </w:tcPr>
          <w:p w:rsidR="009A6D8E" w:rsidRPr="00F865A8" w:rsidRDefault="0086610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Experimentelle und quantitative Methoden in der Mechanobiologie</w:t>
            </w: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A6D8E" w:rsidRDefault="0086610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</w:tcBorders>
          </w:tcPr>
          <w:p w:rsidR="009A6D8E" w:rsidRDefault="00866105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9A6D8E" w:rsidP="00431B3E">
            <w:pPr>
              <w:spacing w:before="60" w:after="60"/>
              <w:jc w:val="left"/>
            </w:pPr>
            <w:r>
              <w:br w:type="page"/>
            </w:r>
            <w:r w:rsidR="00431B3E">
              <w:t>12.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25380" w:rsidRDefault="00866105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Zellhomöostase und Metabolismus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D25380" w:rsidRDefault="0086610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D25380" w:rsidRDefault="00866105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86610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Homöostase des Zellstoffwechsels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6610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6610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86610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Stoffwechselphysiologie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6610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6610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397300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397300" w:rsidRDefault="00397300" w:rsidP="0039730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Pr="000B72AE" w:rsidRDefault="00397300" w:rsidP="0039730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7300" w:rsidRDefault="00397300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Pr="00FB5B95" w:rsidRDefault="00866105" w:rsidP="0039730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der Stoffwechselphysiologie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6610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300" w:rsidRDefault="00866105" w:rsidP="0039730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9A6D8E" w:rsidRPr="007A3421" w:rsidRDefault="00431B3E" w:rsidP="00431B3E">
            <w:pPr>
              <w:spacing w:before="60" w:after="60"/>
              <w:jc w:val="left"/>
            </w:pPr>
            <w:r>
              <w:t>13.</w:t>
            </w:r>
            <w:r w:rsidR="009A6D8E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D25380" w:rsidRDefault="00F12C5D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Zellproliferation, Differenzierung und Zelltod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A6D8E" w:rsidRPr="00D25380" w:rsidRDefault="00F12C5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A6D8E" w:rsidRPr="00D25380" w:rsidRDefault="00F12C5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F12C5D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Molekulare Mechanismen von Zellproliferation, Differenzierung und Zelltod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12C5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12C5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EE1824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EE1824" w:rsidRDefault="00EE1824" w:rsidP="00EE182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Pr="000B72AE" w:rsidRDefault="00EE1824" w:rsidP="00EE182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824" w:rsidRDefault="00EE1824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Pr="00FB5B95" w:rsidRDefault="00F12C5D" w:rsidP="00EE182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Zellproliferation, Differenzierung und Zelltod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12C5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4" w:rsidRDefault="00F12C5D" w:rsidP="00EE182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F12C5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Zellproliferation, Differenzierung und Zelltod</w:t>
            </w:r>
          </w:p>
        </w:tc>
        <w:tc>
          <w:tcPr>
            <w:tcW w:w="702" w:type="dxa"/>
          </w:tcPr>
          <w:p w:rsidR="009A6D8E" w:rsidRDefault="00F12C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9A6D8E" w:rsidRDefault="00F12C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5B2EAB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B2EAB" w:rsidRPr="007A3421" w:rsidRDefault="00E55AB8" w:rsidP="00431B3E">
            <w:pPr>
              <w:spacing w:before="60" w:after="60"/>
              <w:jc w:val="left"/>
            </w:pPr>
            <w:r>
              <w:br w:type="page"/>
            </w:r>
            <w:r w:rsidR="006B2AA1">
              <w:br w:type="page"/>
            </w:r>
            <w:r w:rsidR="00431B3E">
              <w:t>14.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5B2EAB" w:rsidRPr="00D25380" w:rsidRDefault="00F12C5D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Zellmigration in Entwicklung und Krankheit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5B2EAB" w:rsidRPr="00D25380" w:rsidRDefault="00F12C5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5B2EAB" w:rsidRPr="00D25380" w:rsidRDefault="00F12C5D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8F6B1C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F6B1C" w:rsidRDefault="008F6B1C" w:rsidP="008F6B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Pr="000B72AE" w:rsidRDefault="008F6B1C" w:rsidP="008F6B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6B1C" w:rsidRDefault="008F6B1C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Pr="00FB5B95" w:rsidRDefault="00F12C5D" w:rsidP="008F6B1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Konzepte der Zellmigration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F12C5D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C" w:rsidRDefault="00F12C5D" w:rsidP="008F6B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Zellmigration</w:t>
            </w:r>
          </w:p>
        </w:tc>
        <w:tc>
          <w:tcPr>
            <w:tcW w:w="702" w:type="dxa"/>
          </w:tcPr>
          <w:p w:rsidR="00CF79FE" w:rsidRDefault="00F12C5D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F12C5D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5B2EAB" w:rsidRPr="007A3421" w:rsidTr="00974BB7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5B2EAB" w:rsidRPr="007A3421" w:rsidRDefault="005B2EA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5B2EAB" w:rsidRPr="00F865A8" w:rsidRDefault="00F12C5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Zellmigration</w:t>
            </w:r>
          </w:p>
        </w:tc>
        <w:tc>
          <w:tcPr>
            <w:tcW w:w="702" w:type="dxa"/>
          </w:tcPr>
          <w:p w:rsidR="005B2EAB" w:rsidRDefault="00F12C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5B2EAB" w:rsidRDefault="00F12C5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  <w:r w:rsidR="00431B3E">
              <w:t>15.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Zelluläre Stressreaktion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Zelluläre Stressreaktion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Zelluläre Stressreaktion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Zelluläre Stressreaktion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16.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Chronobiologie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Chronobiologie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Zirkadiane Rhythmik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Analyse zellulärer zirkadianer Muster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17.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D25380" w:rsidRDefault="00F12C5D" w:rsidP="00F12C5D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Seneszenz und Zellalterung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Molekularbiologische Aspekte der zellulären Seneszenz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Aspekte der Seneszenzforschung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der Seneszenzforschung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18.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Molekularbiologie und Genetik der Bioadhäsion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biomimetischer Klebstoffe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Aspekte der Bioadhäsionsforschung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zur Identifikation biologischer Klebstoffe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19.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F12C5D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Stammzellen und Regeneration in wirbellosen Modellorganismen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F12C5D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Stammzellen und Regeneration in wirbellosen Modellorganismen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Stammzellen und Regeneration in wirbellosen Modellorganismen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F12C5D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Stammzellen und Regeneration in wirbellosen Modellorganismen</w:t>
            </w:r>
          </w:p>
        </w:tc>
        <w:tc>
          <w:tcPr>
            <w:tcW w:w="702" w:type="dxa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F12C5D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20.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F12C5D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Herstellung und Reprogrammierung humaner Stammzellen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7C7AE6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7C7AE6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7C7AE6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Humane Stammzellbiologie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7C7AE6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Stammzellbiologie</w:t>
            </w:r>
          </w:p>
        </w:tc>
        <w:tc>
          <w:tcPr>
            <w:tcW w:w="702" w:type="dxa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7C7AE6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Zellbiologische Methoden der Stammzellbiologie</w:t>
            </w:r>
          </w:p>
        </w:tc>
        <w:tc>
          <w:tcPr>
            <w:tcW w:w="702" w:type="dxa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7C7AE6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Stammzellen in der Regenerativen Medizin und Krankheitsmodellierung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7C7AE6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7C7AE6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7C7AE6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Regenerative Medizin und Krankheitsmodellierung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7C7AE6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Regenerativen Medizin</w:t>
            </w:r>
          </w:p>
        </w:tc>
        <w:tc>
          <w:tcPr>
            <w:tcW w:w="702" w:type="dxa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7C7AE6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Zellbiologische Methoden der Krankheitsmodellierung</w:t>
            </w:r>
          </w:p>
        </w:tc>
        <w:tc>
          <w:tcPr>
            <w:tcW w:w="702" w:type="dxa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7C7AE6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E959B4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3D Zellkultur und Organoide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E959B4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E959B4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E959B4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3D-Zellkultur und Organoide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959B4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959B4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E959B4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zu 3D-Zellkultur und Organoiden</w:t>
            </w:r>
          </w:p>
        </w:tc>
        <w:tc>
          <w:tcPr>
            <w:tcW w:w="702" w:type="dxa"/>
          </w:tcPr>
          <w:p w:rsidR="00CF79FE" w:rsidRDefault="00E959B4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E959B4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E959B4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3D-Zellkultur und Organoidtechniken</w:t>
            </w:r>
          </w:p>
        </w:tc>
        <w:tc>
          <w:tcPr>
            <w:tcW w:w="702" w:type="dxa"/>
          </w:tcPr>
          <w:p w:rsidR="00CF79FE" w:rsidRDefault="00E959B4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E959B4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86250E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Biodruck und Züchtung menschlicher Gewebe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86250E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86250E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RPr="0086250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86250E" w:rsidRDefault="0086250E" w:rsidP="00F74646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86250E">
              <w:rPr>
                <w:lang w:val="en-US"/>
              </w:rPr>
              <w:t>VO Tissue Engineering, 3D-Biodruck und Organ-on-Chip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86250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86250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86250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Neue Strategien der Züchtung menschlicher Gewebe für Drug Testing und Precision Medicine Anwendungen</w:t>
            </w:r>
          </w:p>
        </w:tc>
        <w:tc>
          <w:tcPr>
            <w:tcW w:w="702" w:type="dxa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3D-Biodruck und Organ-on-Chip als Modelle in der Tumorbiologie</w:t>
            </w:r>
          </w:p>
        </w:tc>
        <w:tc>
          <w:tcPr>
            <w:tcW w:w="702" w:type="dxa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86250E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Onkogene Signaltransduktion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86250E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86250E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Signaltransduktion bei Krebs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zu Krebstherapien</w:t>
            </w:r>
          </w:p>
        </w:tc>
        <w:tc>
          <w:tcPr>
            <w:tcW w:w="702" w:type="dxa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zur Analyse von Signalwegen in Krebszellen</w:t>
            </w:r>
          </w:p>
        </w:tc>
        <w:tc>
          <w:tcPr>
            <w:tcW w:w="702" w:type="dxa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86250E" w:rsidP="00F74646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Epigenetik und Krebs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Pr="00D25380" w:rsidRDefault="0086250E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CF79FE" w:rsidRPr="00D25380" w:rsidRDefault="0086250E" w:rsidP="00F7464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F79FE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Epigenetik und Krebs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Epigenetik und Krebs</w:t>
            </w:r>
          </w:p>
        </w:tc>
        <w:tc>
          <w:tcPr>
            <w:tcW w:w="702" w:type="dxa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F79FE" w:rsidTr="00F74646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F7464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CF79FE" w:rsidRDefault="00CF79F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86250E" w:rsidP="00F7464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Epigenetik und Krebs</w:t>
            </w:r>
          </w:p>
        </w:tc>
        <w:tc>
          <w:tcPr>
            <w:tcW w:w="702" w:type="dxa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CF79FE" w:rsidRDefault="0086250E" w:rsidP="00F746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6250E" w:rsidRPr="007A3421" w:rsidRDefault="00431B3E" w:rsidP="00431B3E">
            <w:pPr>
              <w:spacing w:before="60" w:after="60"/>
              <w:jc w:val="left"/>
            </w:pPr>
            <w:r>
              <w:t>26.</w:t>
            </w:r>
            <w:r w:rsidR="0086250E">
              <w:br w:type="page"/>
            </w:r>
            <w:r w:rsidR="0086250E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6250E" w:rsidRPr="00630759" w:rsidRDefault="0086250E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Modellorganismen in der Alternsforschung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6250E" w:rsidRPr="00D25380" w:rsidRDefault="0086250E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6250E" w:rsidRPr="00D25380" w:rsidRDefault="0086250E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6250E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Pr="000B72A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Pr="00FB5B95" w:rsidRDefault="0086250E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Modellorganismen in der Alternsforschung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86250E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Modellorganismen in der Alternsforschung</w:t>
            </w:r>
          </w:p>
        </w:tc>
        <w:tc>
          <w:tcPr>
            <w:tcW w:w="702" w:type="dxa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86250E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 xml:space="preserve">UE Modellorganismus </w:t>
            </w:r>
            <w:r w:rsidRPr="00B662AE">
              <w:rPr>
                <w:i/>
              </w:rPr>
              <w:t>Caenorhabditis elegans</w:t>
            </w:r>
          </w:p>
        </w:tc>
        <w:tc>
          <w:tcPr>
            <w:tcW w:w="702" w:type="dxa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6250E" w:rsidRPr="007A3421" w:rsidRDefault="0086250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6250E" w:rsidRPr="00630759" w:rsidRDefault="006B7D9D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Modellorganismen in der Diabetesforschung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6250E" w:rsidRPr="00D25380" w:rsidRDefault="006B7D9D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6250E" w:rsidRPr="00D25380" w:rsidRDefault="006B7D9D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6250E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Pr="000B72A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Pr="00FB5B95" w:rsidRDefault="006B7D9D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Ursachen und Konsequenzen von Diabetes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6B7D9D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Methoden in der Diabetesforschung</w:t>
            </w:r>
          </w:p>
        </w:tc>
        <w:tc>
          <w:tcPr>
            <w:tcW w:w="702" w:type="dxa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6B7D9D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Praktische Ansätze der Diabetesforschung</w:t>
            </w:r>
          </w:p>
        </w:tc>
        <w:tc>
          <w:tcPr>
            <w:tcW w:w="702" w:type="dxa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6250E" w:rsidRPr="007A3421" w:rsidRDefault="0086250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6250E" w:rsidRPr="00630759" w:rsidRDefault="006B7D9D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Flexibilität des Herz-Kreislauf-Systems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6250E" w:rsidRPr="00D25380" w:rsidRDefault="006B7D9D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6250E" w:rsidRPr="00D25380" w:rsidRDefault="006B7D9D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6250E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Pr="000B72A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Pr="00FB5B95" w:rsidRDefault="006B7D9D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Flexibilität des Herz-Kreislauf-Systems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6B7D9D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in der kardiovaskulären Physiologie</w:t>
            </w:r>
          </w:p>
        </w:tc>
        <w:tc>
          <w:tcPr>
            <w:tcW w:w="702" w:type="dxa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6B7D9D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Methoden in der kardiovaskulären Forschung</w:t>
            </w:r>
          </w:p>
        </w:tc>
        <w:tc>
          <w:tcPr>
            <w:tcW w:w="702" w:type="dxa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86250E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6250E" w:rsidRPr="007A3421" w:rsidRDefault="0086250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29.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86250E" w:rsidRPr="00630759" w:rsidRDefault="001B1F89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Die Maus in der Biomedizinischen Forschung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86250E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86250E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6250E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Pr="000B72A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Pr="00FB5B95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Die Maus in der Biomedizinischen Forschung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50E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Die Maus in der Biomedizinischen Forschung</w:t>
            </w:r>
          </w:p>
        </w:tc>
        <w:tc>
          <w:tcPr>
            <w:tcW w:w="702" w:type="dxa"/>
          </w:tcPr>
          <w:p w:rsidR="0086250E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86250E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86250E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86250E" w:rsidRPr="007A3421" w:rsidRDefault="0086250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86250E" w:rsidRDefault="0086250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86250E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Grundlagen der experimentellen Arbeit mit Mäusen</w:t>
            </w:r>
          </w:p>
        </w:tc>
        <w:tc>
          <w:tcPr>
            <w:tcW w:w="702" w:type="dxa"/>
          </w:tcPr>
          <w:p w:rsidR="0086250E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86250E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B7D9D" w:rsidRPr="007A3421" w:rsidRDefault="00431B3E" w:rsidP="00431B3E">
            <w:pPr>
              <w:spacing w:before="60" w:after="60"/>
              <w:jc w:val="left"/>
            </w:pPr>
            <w:r>
              <w:t>30.</w:t>
            </w:r>
            <w:r w:rsidR="006B7D9D">
              <w:br w:type="page"/>
            </w:r>
            <w:r w:rsidR="006B7D9D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B7D9D" w:rsidRPr="00630759" w:rsidRDefault="001B1F89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Molekulare Mechanismen der Immunität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B7D9D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Pr="000B72AE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Pr="00FB5B95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Molekulare Mechanismen der Immunität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Molekulare Mechanismen der Immunität</w:t>
            </w:r>
          </w:p>
        </w:tc>
        <w:tc>
          <w:tcPr>
            <w:tcW w:w="702" w:type="dxa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Funktionelle und mechanistische Analysen der Immunzellphysiologie</w:t>
            </w:r>
          </w:p>
        </w:tc>
        <w:tc>
          <w:tcPr>
            <w:tcW w:w="702" w:type="dxa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B7D9D" w:rsidRPr="007A3421" w:rsidRDefault="006B7D9D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B7D9D" w:rsidRPr="00630759" w:rsidRDefault="001B1F89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Interaktionen zwischen Immunsystem und Pathogenen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B7D9D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Pr="000B72AE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Pr="00FB5B95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Abwehr von Pathogenen und Immunevasion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Immunabwehr von Pathogenen</w:t>
            </w:r>
          </w:p>
        </w:tc>
        <w:tc>
          <w:tcPr>
            <w:tcW w:w="702" w:type="dxa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Pathogen-spezifische Immunantworten</w:t>
            </w:r>
          </w:p>
        </w:tc>
        <w:tc>
          <w:tcPr>
            <w:tcW w:w="702" w:type="dxa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B7D9D" w:rsidRPr="007A3421" w:rsidRDefault="006B7D9D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32.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B7D9D" w:rsidRPr="00630759" w:rsidRDefault="001B1F89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Angewandte Immunologie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B7D9D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Pr="000B72AE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Pr="00FB5B95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Angewandte Immunologie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der angewandten Immunologie</w:t>
            </w:r>
          </w:p>
        </w:tc>
        <w:tc>
          <w:tcPr>
            <w:tcW w:w="702" w:type="dxa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Angewandte immunologische Methoden</w:t>
            </w:r>
          </w:p>
        </w:tc>
        <w:tc>
          <w:tcPr>
            <w:tcW w:w="702" w:type="dxa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B7D9D" w:rsidRPr="007A3421" w:rsidRDefault="006B7D9D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B7D9D" w:rsidRPr="00630759" w:rsidRDefault="001B1F89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Forschungsnahes Laborprojekt 1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B7D9D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Pr="000B72AE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Pr="00FB5B95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Forschungsnahes Laborprojekt 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Präsentation des Laborprojekts 1</w:t>
            </w:r>
          </w:p>
        </w:tc>
        <w:tc>
          <w:tcPr>
            <w:tcW w:w="702" w:type="dxa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0346D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6B7D9D" w:rsidRPr="007A3421" w:rsidRDefault="006B7D9D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6B7D9D" w:rsidRPr="00630759" w:rsidRDefault="001B1F89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Forschungsnahes Laborprojekt 2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6B7D9D" w:rsidRPr="00D25380" w:rsidRDefault="001B1F89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B7D9D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Pr="000B72AE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Pr="00FB5B95" w:rsidRDefault="001B1F89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Forschungsnahes Laborprojekt 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D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13,5</w:t>
            </w:r>
          </w:p>
        </w:tc>
      </w:tr>
      <w:tr w:rsidR="006B7D9D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6B7D9D" w:rsidRPr="007A3421" w:rsidRDefault="006B7D9D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6B7D9D" w:rsidRDefault="006B7D9D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6B7D9D" w:rsidRPr="00F865A8" w:rsidRDefault="005F3062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Präsentation des Laborprojekts 2</w:t>
            </w:r>
          </w:p>
        </w:tc>
        <w:tc>
          <w:tcPr>
            <w:tcW w:w="702" w:type="dxa"/>
          </w:tcPr>
          <w:p w:rsidR="006B7D9D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6B7D9D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1B1F89" w:rsidRPr="007A3421" w:rsidRDefault="001B1F89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B1F89" w:rsidRPr="00630759" w:rsidRDefault="005F3062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Ausgewählte Themen der Biomedizin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B1F89" w:rsidRPr="00D25380" w:rsidRDefault="005F3062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1B1F89" w:rsidRPr="00D25380" w:rsidRDefault="005F3062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1B1F89" w:rsidRDefault="001B1F89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Pr="000B72AE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Pr="00FB5B95" w:rsidRDefault="005F3062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Ausgewählte Themen der Biomedizin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B1F89" w:rsidRPr="007A3421" w:rsidRDefault="001B1F89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1B1F89" w:rsidRPr="00F865A8" w:rsidRDefault="005F3062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Ausgewählte Themen der Biomedizin</w:t>
            </w:r>
          </w:p>
        </w:tc>
        <w:tc>
          <w:tcPr>
            <w:tcW w:w="702" w:type="dxa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B1F89" w:rsidRPr="007A3421" w:rsidRDefault="001B1F89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1B1F89" w:rsidRPr="00F865A8" w:rsidRDefault="005F3062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Ausgewählte Themen der Biomedizin</w:t>
            </w:r>
          </w:p>
        </w:tc>
        <w:tc>
          <w:tcPr>
            <w:tcW w:w="702" w:type="dxa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1B1F89" w:rsidRPr="007A3421" w:rsidRDefault="001B1F89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B1F89" w:rsidRPr="00D25380" w:rsidRDefault="005F3062" w:rsidP="00C44C5B">
            <w:pPr>
              <w:spacing w:before="60" w:after="60"/>
              <w:ind w:left="5"/>
              <w:jc w:val="left"/>
              <w:rPr>
                <w:b/>
              </w:rPr>
            </w:pPr>
            <w:r w:rsidRPr="00D25380">
              <w:rPr>
                <w:b/>
              </w:rPr>
              <w:t>Wahlmodul: Ausgewählte Themen der digitalen Biomedizin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B1F89" w:rsidRPr="00D25380" w:rsidRDefault="005F3062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1B1F89" w:rsidRPr="00D25380" w:rsidRDefault="005F3062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1B1F89" w:rsidRDefault="001B1F89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Pr="000B72AE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Pr="00FB5B95" w:rsidRDefault="005F3062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Ausgewählte Themen der digitalen Biomedizin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B1F89" w:rsidRPr="007A3421" w:rsidRDefault="001B1F89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1B1F89" w:rsidRPr="00F865A8" w:rsidRDefault="005F3062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Ausgewählte Themen der digitalen Biomedizin</w:t>
            </w:r>
          </w:p>
        </w:tc>
        <w:tc>
          <w:tcPr>
            <w:tcW w:w="702" w:type="dxa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7" w:type="dxa"/>
            <w:gridSpan w:val="2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1B1F89" w:rsidRPr="007A3421" w:rsidRDefault="001B1F89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1B1F89" w:rsidRPr="00F865A8" w:rsidRDefault="005F3062" w:rsidP="00C44C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Ausgewählte Themen der digitalen Biomedizin</w:t>
            </w:r>
          </w:p>
        </w:tc>
        <w:tc>
          <w:tcPr>
            <w:tcW w:w="702" w:type="dxa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7" w:type="dxa"/>
            <w:gridSpan w:val="2"/>
          </w:tcPr>
          <w:p w:rsidR="001B1F89" w:rsidRDefault="005F3062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1B1F89" w:rsidRPr="007A3421" w:rsidRDefault="001B1F89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37.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B1F89" w:rsidRPr="00630759" w:rsidRDefault="002F0CFE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Modul aus einem anderen Masterstudium der Fakultät für 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1B1F89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1B1F89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1B1F89" w:rsidRDefault="001B1F89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Pr="000B72AE" w:rsidRDefault="001B1F89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Pr="005F52C8" w:rsidRDefault="002F0CFE" w:rsidP="00C44C5B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5F52C8">
              <w:rPr>
                <w:i/>
              </w:rPr>
              <w:t>Es kann ein Modul aus einem anderen Masterstudium der Fakultät für Biologie der Universität Innsbruck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Default="001B1F89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89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2F0CFE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2F0CFE" w:rsidRPr="007A3421" w:rsidRDefault="002F0CFE" w:rsidP="00431B3E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  <w:r w:rsidR="00431B3E">
              <w:t>38.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2F0CFE" w:rsidRPr="00630759" w:rsidRDefault="002F0CFE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Modul aus einem anderen Masterstudium der Fakultät für Biologie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2538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F0CFE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F0CFE" w:rsidRDefault="002F0CF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0CFE" w:rsidRPr="000B72AE" w:rsidRDefault="002F0CF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FE" w:rsidRPr="005F52C8" w:rsidRDefault="002F0CFE" w:rsidP="00C44C5B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5F52C8">
              <w:rPr>
                <w:i/>
              </w:rPr>
              <w:t>Es kann ein Modul aus einem anderen Masterstudium der Fakultät für Biologie der Universität Innsbruck absolviert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F0CFE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2F0CFE" w:rsidRPr="007A3421" w:rsidRDefault="002F0CFE" w:rsidP="00431B3E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31B3E">
              <w:t>39.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2F0CFE" w:rsidRPr="00630759" w:rsidRDefault="002F0CFE" w:rsidP="00C44C5B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Interdisziplinäre Kompetenzen 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2F0CFE" w:rsidRPr="00D25380" w:rsidRDefault="00955DBC" w:rsidP="00C44C5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5</w:t>
            </w:r>
          </w:p>
        </w:tc>
      </w:tr>
      <w:tr w:rsidR="002F0CFE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2F0CFE" w:rsidRDefault="002F0CFE" w:rsidP="00C44C5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0CFE" w:rsidRPr="000B72AE" w:rsidRDefault="002F0CFE" w:rsidP="00C44C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FE" w:rsidRPr="002F0CFE" w:rsidRDefault="002F0CFE" w:rsidP="00C44C5B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2F0CFE">
              <w:rPr>
                <w:i/>
              </w:rPr>
              <w:t>Es können Lehrveranstaltungen im Ausmaß von 5 ECTS-AP nach Maßgabe freier Plätze aus den Curricula der an der Universität Innsbruck eingerichteten Masterstudien frei gewählt werden. Es wird empfohlen, Lehrveranstaltungen aus dem Bereich der Förderung der Genderkompetenz zu wählen.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FE" w:rsidRDefault="002F0CFE" w:rsidP="00C44C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55DBC" w:rsidTr="00C44C5B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955DBC" w:rsidRPr="007A3421" w:rsidRDefault="00431B3E" w:rsidP="00431B3E">
            <w:pPr>
              <w:spacing w:before="60" w:after="60"/>
              <w:jc w:val="left"/>
            </w:pPr>
            <w:r>
              <w:t>40.</w:t>
            </w:r>
            <w:r w:rsidR="00955DBC">
              <w:br w:type="page"/>
            </w:r>
            <w:r w:rsidR="00955DBC"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55DBC" w:rsidRDefault="00955DBC" w:rsidP="00955D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55DBC" w:rsidRPr="00630759" w:rsidRDefault="00955DBC" w:rsidP="00955DBC">
            <w:pPr>
              <w:spacing w:before="60" w:after="60"/>
              <w:ind w:left="5"/>
              <w:jc w:val="left"/>
            </w:pPr>
            <w:r w:rsidRPr="00D25380">
              <w:rPr>
                <w:b/>
              </w:rPr>
              <w:t>Wahlmodul: Interdisziplinäre Kompetenzen II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2,5 </w:t>
            </w:r>
          </w:p>
        </w:tc>
      </w:tr>
      <w:tr w:rsidR="00955DBC" w:rsidTr="00C44C5B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55DBC" w:rsidRDefault="00955DBC" w:rsidP="00955DB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5DBC" w:rsidRPr="000B72AE" w:rsidRDefault="00955DBC" w:rsidP="00955DB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C" w:rsidRPr="00DD4002" w:rsidRDefault="00955DBC" w:rsidP="00955DBC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DD4002">
              <w:rPr>
                <w:i/>
              </w:rPr>
              <w:t>Es können Lehrveranstaltungen im Ausmaß von 2,5 ECTS-AP nach Maßgabe freier Plätze aus den Curricula der an der Universität Innsbruck eingerichteten Masterstudien frei gewählt werden. Es wird empfohlen, Lehrveranstaltungen aus dem Bereich der Förderung der Genderkompetenz zu wählen.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C" w:rsidRDefault="00955DBC" w:rsidP="00955D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6B7D9D" w:rsidRDefault="006B7D9D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9B424C" w:rsidRDefault="009D5659" w:rsidP="009B424C">
            <w:pPr>
              <w:jc w:val="center"/>
            </w:pPr>
            <w:r>
              <w:t>Univ.-Prof. Dr. Birgit Weinberger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46" w:rsidRDefault="00F74646">
      <w:r>
        <w:separator/>
      </w:r>
    </w:p>
  </w:endnote>
  <w:endnote w:type="continuationSeparator" w:id="0">
    <w:p w:rsidR="00F74646" w:rsidRDefault="00F7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46" w:rsidRDefault="00F74646">
      <w:r>
        <w:separator/>
      </w:r>
    </w:p>
  </w:footnote>
  <w:footnote w:type="continuationSeparator" w:id="0">
    <w:p w:rsidR="00F74646" w:rsidRDefault="00F7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F74646" w:rsidRPr="007A7723" w:rsidTr="001E0E69">
      <w:trPr>
        <w:trHeight w:val="284"/>
      </w:trPr>
      <w:tc>
        <w:tcPr>
          <w:tcW w:w="15933" w:type="dxa"/>
        </w:tcPr>
        <w:p w:rsidR="00F74646" w:rsidRPr="007109D2" w:rsidRDefault="00F74646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  <w:lang w:val="en-US"/>
            </w:rPr>
          </w:pPr>
          <w:r w:rsidRPr="007109D2">
            <w:rPr>
              <w:lang w:val="en-US"/>
            </w:rPr>
            <w:t>Beiblatt  MA Biomedical Life S</w:t>
          </w:r>
          <w:r>
            <w:rPr>
              <w:lang w:val="en-US"/>
            </w:rPr>
            <w:t xml:space="preserve">ciences </w:t>
          </w:r>
          <w:r w:rsidRPr="007109D2">
            <w:rPr>
              <w:lang w:val="en-US"/>
            </w:rPr>
            <w:t>(Curriculum</w:t>
          </w:r>
          <w:r>
            <w:rPr>
              <w:lang w:val="en-US"/>
            </w:rPr>
            <w:t xml:space="preserve"> 2025</w:t>
          </w:r>
          <w:r w:rsidRPr="007109D2">
            <w:rPr>
              <w:lang w:val="en-US"/>
            </w:rPr>
            <w:t xml:space="preserve">)                                                                                                          </w:t>
          </w:r>
          <w:r w:rsidRPr="007109D2">
            <w:rPr>
              <w:rStyle w:val="Seitenzahl"/>
              <w:b/>
              <w:lang w:val="en-US"/>
            </w:rPr>
            <w:t xml:space="preserve">ab 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 w:rsidRPr="007109D2">
            <w:rPr>
              <w:rStyle w:val="Seitenzahl"/>
              <w:lang w:val="en-US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7A7723">
            <w:rPr>
              <w:rStyle w:val="Seitenzahl"/>
              <w:noProof/>
              <w:lang w:val="en-US"/>
            </w:rPr>
            <w:t>1</w:t>
          </w:r>
          <w:r>
            <w:rPr>
              <w:rStyle w:val="Seitenzahl"/>
            </w:rPr>
            <w:fldChar w:fldCharType="end"/>
          </w:r>
          <w:r w:rsidRPr="007109D2">
            <w:rPr>
              <w:rStyle w:val="Seitenzahl"/>
              <w:lang w:val="en-US"/>
            </w:rPr>
            <w:t xml:space="preserve"> von </w:t>
          </w:r>
          <w:r>
            <w:rPr>
              <w:rStyle w:val="Seitenzahl"/>
            </w:rPr>
            <w:fldChar w:fldCharType="begin"/>
          </w:r>
          <w:r w:rsidRPr="007109D2">
            <w:rPr>
              <w:rStyle w:val="Seitenzahl"/>
              <w:lang w:val="en-US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A7723">
            <w:rPr>
              <w:rStyle w:val="Seitenzahl"/>
              <w:noProof/>
              <w:lang w:val="en-US"/>
            </w:rPr>
            <w:t>10</w:t>
          </w:r>
          <w:r>
            <w:rPr>
              <w:rStyle w:val="Seitenzahl"/>
            </w:rPr>
            <w:fldChar w:fldCharType="end"/>
          </w:r>
        </w:p>
      </w:tc>
    </w:tr>
  </w:tbl>
  <w:p w:rsidR="00F74646" w:rsidRPr="007109D2" w:rsidRDefault="00F74646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l6hRymZUd9SwSwhANGauupdLN2JJt0S8S8VF/aKKaKSHXxtaRcj982W9UyTsRGDcF5HHUWsfD8dk7xcxJv4g==" w:salt="qobMNGISjbfV6MDUYmBaTw==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346D9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21A9F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B1F89"/>
    <w:rsid w:val="001C21DC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6471B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0CFE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1B3E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3020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D7C4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3062"/>
    <w:rsid w:val="005F52C8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B7D9D"/>
    <w:rsid w:val="006C0192"/>
    <w:rsid w:val="006C1B48"/>
    <w:rsid w:val="006C4151"/>
    <w:rsid w:val="006D4E8F"/>
    <w:rsid w:val="006E61E4"/>
    <w:rsid w:val="006F0E0D"/>
    <w:rsid w:val="006F64E2"/>
    <w:rsid w:val="00705782"/>
    <w:rsid w:val="007109D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20BE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A7723"/>
    <w:rsid w:val="007B1082"/>
    <w:rsid w:val="007B3706"/>
    <w:rsid w:val="007B7DC8"/>
    <w:rsid w:val="007B7F24"/>
    <w:rsid w:val="007C1AF4"/>
    <w:rsid w:val="007C7AE6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250E"/>
    <w:rsid w:val="008630AF"/>
    <w:rsid w:val="00865627"/>
    <w:rsid w:val="00866105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55DBC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5659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819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662AE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289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8690F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5380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D4002"/>
    <w:rsid w:val="00DE302D"/>
    <w:rsid w:val="00DE34BF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959B4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2C5D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4646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2737</Words>
  <Characters>17250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29</cp:revision>
  <cp:lastPrinted>2020-06-25T13:48:00Z</cp:lastPrinted>
  <dcterms:created xsi:type="dcterms:W3CDTF">2025-05-09T10:08:00Z</dcterms:created>
  <dcterms:modified xsi:type="dcterms:W3CDTF">2025-08-28T06:55:00Z</dcterms:modified>
</cp:coreProperties>
</file>