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0D751" w14:textId="77777777" w:rsidR="001D72EC" w:rsidRPr="001D72EC" w:rsidRDefault="00A15838" w:rsidP="001D72EC">
      <w:pPr>
        <w:pStyle w:val="Titel"/>
      </w:pPr>
      <w:r w:rsidRPr="001D72EC">
        <w:t xml:space="preserve">Handreichung </w:t>
      </w:r>
      <w:r w:rsidR="0058459C" w:rsidRPr="001D72EC">
        <w:t>für Universitätslehrgänge</w:t>
      </w:r>
    </w:p>
    <w:p w14:paraId="642760BE" w14:textId="77777777" w:rsidR="001D72EC" w:rsidRPr="001D72EC" w:rsidRDefault="0058459C" w:rsidP="001D72EC">
      <w:pPr>
        <w:pStyle w:val="Titel"/>
      </w:pPr>
      <w:r w:rsidRPr="001D72EC">
        <w:t>an der Universität Innsbruck</w:t>
      </w:r>
    </w:p>
    <w:p w14:paraId="3EB55E9C" w14:textId="20C89DFB" w:rsidR="0058459C" w:rsidRPr="00325E5D" w:rsidRDefault="0058459C" w:rsidP="001D72EC">
      <w:pPr>
        <w:jc w:val="center"/>
      </w:pPr>
      <w:r w:rsidRPr="00325E5D">
        <w:t>(</w:t>
      </w:r>
      <w:r w:rsidR="00065D72">
        <w:t xml:space="preserve">Freigabe </w:t>
      </w:r>
      <w:r w:rsidR="00506218">
        <w:t>des</w:t>
      </w:r>
      <w:r w:rsidRPr="00325E5D">
        <w:t xml:space="preserve"> </w:t>
      </w:r>
      <w:r w:rsidR="00EA16C2" w:rsidRPr="00325E5D">
        <w:t>Rektorat</w:t>
      </w:r>
      <w:r w:rsidR="00506218">
        <w:t>s</w:t>
      </w:r>
      <w:r w:rsidR="00EA16C2" w:rsidRPr="00325E5D">
        <w:t xml:space="preserve"> </w:t>
      </w:r>
      <w:r w:rsidR="00EA16C2" w:rsidRPr="00EC6184">
        <w:t xml:space="preserve">am </w:t>
      </w:r>
      <w:r w:rsidR="00EC6184" w:rsidRPr="00EC6184">
        <w:t>26.06.2024</w:t>
      </w:r>
      <w:r w:rsidR="00EA16C2" w:rsidRPr="00EC6184">
        <w:t xml:space="preserve"> und</w:t>
      </w:r>
      <w:r w:rsidR="00EA16C2">
        <w:t xml:space="preserve"> </w:t>
      </w:r>
      <w:r w:rsidR="00506218">
        <w:t xml:space="preserve">des </w:t>
      </w:r>
      <w:r w:rsidRPr="00325E5D">
        <w:t>Senat</w:t>
      </w:r>
      <w:r w:rsidR="00506218">
        <w:t>svorsitzenden</w:t>
      </w:r>
      <w:r w:rsidRPr="00325E5D">
        <w:t xml:space="preserve"> </w:t>
      </w:r>
      <w:r w:rsidR="00065D72">
        <w:t>a</w:t>
      </w:r>
      <w:r w:rsidRPr="00325E5D">
        <w:t xml:space="preserve">m </w:t>
      </w:r>
      <w:r w:rsidR="00506218">
        <w:t>10.07.2024</w:t>
      </w:r>
      <w:r w:rsidRPr="00506218">
        <w:t>)</w:t>
      </w:r>
    </w:p>
    <w:p w14:paraId="103AD994" w14:textId="4D902012" w:rsidR="0052683F" w:rsidRPr="00325E5D" w:rsidRDefault="0052683F" w:rsidP="00325E5D">
      <w:pPr>
        <w:spacing w:after="0" w:line="276" w:lineRule="auto"/>
        <w:rPr>
          <w:sz w:val="24"/>
          <w:szCs w:val="24"/>
        </w:rPr>
      </w:pPr>
    </w:p>
    <w:p w14:paraId="31C9D089" w14:textId="77777777" w:rsidR="0052683F" w:rsidRDefault="0052683F" w:rsidP="00DC6055">
      <w:pPr>
        <w:spacing w:after="0" w:line="276" w:lineRule="auto"/>
        <w:jc w:val="both"/>
        <w:rPr>
          <w:sz w:val="24"/>
          <w:szCs w:val="24"/>
        </w:rPr>
      </w:pPr>
    </w:p>
    <w:p w14:paraId="4ECCEB05" w14:textId="0ABC4D62" w:rsidR="00FA4BA5" w:rsidRPr="00D5412F" w:rsidRDefault="00FA4BA5" w:rsidP="00DC6055">
      <w:pPr>
        <w:pStyle w:val="berschrift1"/>
        <w:jc w:val="both"/>
      </w:pPr>
      <w:r w:rsidRPr="00D5412F">
        <w:t>Arten von Universitätslehrgängen</w:t>
      </w:r>
    </w:p>
    <w:p w14:paraId="7F60DF83" w14:textId="2CCA4BE5" w:rsidR="00FA4BA5" w:rsidRPr="00325E5D" w:rsidRDefault="00FA4BA5" w:rsidP="00DC6055">
      <w:pPr>
        <w:pStyle w:val="Listenabsatz"/>
        <w:numPr>
          <w:ilvl w:val="0"/>
          <w:numId w:val="10"/>
        </w:numPr>
        <w:spacing w:after="0" w:line="276" w:lineRule="auto"/>
        <w:jc w:val="both"/>
        <w:rPr>
          <w:sz w:val="24"/>
          <w:szCs w:val="24"/>
        </w:rPr>
      </w:pPr>
      <w:r w:rsidRPr="00325E5D">
        <w:rPr>
          <w:sz w:val="24"/>
          <w:szCs w:val="24"/>
        </w:rPr>
        <w:t>Außerordentliche</w:t>
      </w:r>
      <w:r w:rsidR="006C6D40">
        <w:rPr>
          <w:sz w:val="24"/>
          <w:szCs w:val="24"/>
        </w:rPr>
        <w:t>s</w:t>
      </w:r>
      <w:r w:rsidRPr="00325E5D">
        <w:rPr>
          <w:sz w:val="24"/>
          <w:szCs w:val="24"/>
        </w:rPr>
        <w:t xml:space="preserve"> Bachelorstudium</w:t>
      </w:r>
    </w:p>
    <w:p w14:paraId="4EED941D" w14:textId="5E4F551E" w:rsidR="00680E24" w:rsidRPr="00325E5D" w:rsidRDefault="00680E24" w:rsidP="00DC6055">
      <w:pPr>
        <w:pStyle w:val="Listenabsatz"/>
        <w:numPr>
          <w:ilvl w:val="0"/>
          <w:numId w:val="10"/>
        </w:numPr>
        <w:spacing w:after="0" w:line="276" w:lineRule="auto"/>
        <w:jc w:val="both"/>
        <w:rPr>
          <w:sz w:val="24"/>
          <w:szCs w:val="24"/>
        </w:rPr>
      </w:pPr>
      <w:r w:rsidRPr="00325E5D">
        <w:rPr>
          <w:sz w:val="24"/>
          <w:szCs w:val="24"/>
        </w:rPr>
        <w:t>Außerordentliche</w:t>
      </w:r>
      <w:r w:rsidR="006C6D40">
        <w:rPr>
          <w:sz w:val="24"/>
          <w:szCs w:val="24"/>
        </w:rPr>
        <w:t>s</w:t>
      </w:r>
      <w:r w:rsidRPr="00325E5D">
        <w:rPr>
          <w:sz w:val="24"/>
          <w:szCs w:val="24"/>
        </w:rPr>
        <w:t xml:space="preserve"> Masterstudi</w:t>
      </w:r>
      <w:r w:rsidR="00FA4BA5" w:rsidRPr="00325E5D">
        <w:rPr>
          <w:sz w:val="24"/>
          <w:szCs w:val="24"/>
        </w:rPr>
        <w:t>um</w:t>
      </w:r>
      <w:bookmarkStart w:id="0" w:name="_GoBack"/>
      <w:bookmarkEnd w:id="0"/>
    </w:p>
    <w:p w14:paraId="0B57EECF" w14:textId="56907376" w:rsidR="00680E24" w:rsidRPr="00325E5D" w:rsidRDefault="00680E24" w:rsidP="00DC6055">
      <w:pPr>
        <w:pStyle w:val="Listenabsatz"/>
        <w:numPr>
          <w:ilvl w:val="0"/>
          <w:numId w:val="10"/>
        </w:numPr>
        <w:spacing w:after="0" w:line="276" w:lineRule="auto"/>
        <w:jc w:val="both"/>
        <w:rPr>
          <w:sz w:val="24"/>
          <w:szCs w:val="24"/>
        </w:rPr>
      </w:pPr>
      <w:r w:rsidRPr="00325E5D">
        <w:rPr>
          <w:sz w:val="24"/>
          <w:szCs w:val="24"/>
        </w:rPr>
        <w:t xml:space="preserve">Universitätsstudiengang </w:t>
      </w:r>
    </w:p>
    <w:p w14:paraId="3BA12654" w14:textId="7995603D" w:rsidR="0058459C" w:rsidRPr="007105DD" w:rsidRDefault="00680E24" w:rsidP="00DC6055">
      <w:pPr>
        <w:pStyle w:val="Listenabsatz"/>
        <w:numPr>
          <w:ilvl w:val="0"/>
          <w:numId w:val="10"/>
        </w:numPr>
        <w:spacing w:after="0" w:line="276" w:lineRule="auto"/>
        <w:jc w:val="both"/>
        <w:rPr>
          <w:sz w:val="24"/>
          <w:szCs w:val="24"/>
        </w:rPr>
      </w:pPr>
      <w:r w:rsidRPr="00325E5D">
        <w:rPr>
          <w:sz w:val="24"/>
          <w:szCs w:val="24"/>
        </w:rPr>
        <w:t>Universitätskurs</w:t>
      </w:r>
    </w:p>
    <w:p w14:paraId="17E8A981" w14:textId="77777777" w:rsidR="007105DD" w:rsidRDefault="007105DD" w:rsidP="00DC6055">
      <w:pPr>
        <w:jc w:val="both"/>
      </w:pPr>
    </w:p>
    <w:p w14:paraId="35C7FB4C" w14:textId="7299F8BF" w:rsidR="002F6243" w:rsidRPr="00325E5D" w:rsidRDefault="0058459C" w:rsidP="00DC6055">
      <w:pPr>
        <w:jc w:val="both"/>
      </w:pPr>
      <w:r w:rsidRPr="00325E5D">
        <w:t xml:space="preserve">Für Universitätslehrgänge </w:t>
      </w:r>
      <w:r w:rsidR="006C6D40">
        <w:t>gem.</w:t>
      </w:r>
      <w:r w:rsidR="006C6D40" w:rsidRPr="00325E5D">
        <w:t xml:space="preserve"> </w:t>
      </w:r>
      <w:r w:rsidRPr="00325E5D">
        <w:t xml:space="preserve">§ </w:t>
      </w:r>
      <w:r w:rsidR="002A729A" w:rsidRPr="00325E5D">
        <w:t>5</w:t>
      </w:r>
      <w:r w:rsidR="002E66AD" w:rsidRPr="00325E5D">
        <w:t>6</w:t>
      </w:r>
      <w:r w:rsidR="002A729A" w:rsidRPr="00325E5D">
        <w:t xml:space="preserve"> Abs. 2</w:t>
      </w:r>
      <w:r w:rsidRPr="00325E5D">
        <w:t xml:space="preserve"> </w:t>
      </w:r>
      <w:r w:rsidR="00A326C8" w:rsidRPr="00325E5D">
        <w:t xml:space="preserve">UG </w:t>
      </w:r>
      <w:r w:rsidRPr="00325E5D">
        <w:t>ist Folgendes zu beachten:</w:t>
      </w:r>
    </w:p>
    <w:p w14:paraId="00693492" w14:textId="32296EB0" w:rsidR="002F6243" w:rsidRPr="00D5412F" w:rsidRDefault="002F6243" w:rsidP="00DC6055">
      <w:pPr>
        <w:pStyle w:val="berschrift2"/>
        <w:jc w:val="both"/>
      </w:pPr>
      <w:r w:rsidRPr="00D5412F">
        <w:t>Außerordentliches Bachelorstudium</w:t>
      </w:r>
    </w:p>
    <w:p w14:paraId="053C6E35" w14:textId="6AC96873" w:rsidR="00BC07B3" w:rsidRPr="00D5412F" w:rsidRDefault="0058459C" w:rsidP="00DC6055">
      <w:pPr>
        <w:pStyle w:val="Listenabsatz"/>
        <w:numPr>
          <w:ilvl w:val="2"/>
          <w:numId w:val="18"/>
        </w:numPr>
        <w:spacing w:after="120" w:line="276" w:lineRule="auto"/>
        <w:contextualSpacing w:val="0"/>
        <w:jc w:val="both"/>
        <w:rPr>
          <w:sz w:val="24"/>
          <w:szCs w:val="24"/>
        </w:rPr>
      </w:pPr>
      <w:r w:rsidRPr="00D5412F">
        <w:rPr>
          <w:sz w:val="24"/>
          <w:szCs w:val="24"/>
        </w:rPr>
        <w:t>Zulassungsbedingungen</w:t>
      </w:r>
      <w:r w:rsidR="002A729A" w:rsidRPr="00D5412F">
        <w:rPr>
          <w:sz w:val="24"/>
          <w:szCs w:val="24"/>
        </w:rPr>
        <w:t xml:space="preserve"> </w:t>
      </w:r>
      <w:r w:rsidRPr="00D5412F">
        <w:rPr>
          <w:sz w:val="24"/>
          <w:szCs w:val="24"/>
        </w:rPr>
        <w:t xml:space="preserve">gemäß § </w:t>
      </w:r>
      <w:r w:rsidR="002A729A" w:rsidRPr="00D5412F">
        <w:rPr>
          <w:sz w:val="24"/>
          <w:szCs w:val="24"/>
        </w:rPr>
        <w:t>70</w:t>
      </w:r>
      <w:r w:rsidRPr="00D5412F">
        <w:rPr>
          <w:sz w:val="24"/>
          <w:szCs w:val="24"/>
        </w:rPr>
        <w:t xml:space="preserve"> Abs. </w:t>
      </w:r>
      <w:r w:rsidR="007E7EB5" w:rsidRPr="00D5412F">
        <w:rPr>
          <w:sz w:val="24"/>
          <w:szCs w:val="24"/>
        </w:rPr>
        <w:t>1 Z</w:t>
      </w:r>
      <w:r w:rsidR="002A729A" w:rsidRPr="00D5412F">
        <w:rPr>
          <w:sz w:val="24"/>
          <w:szCs w:val="24"/>
        </w:rPr>
        <w:t xml:space="preserve"> 1 und 2 </w:t>
      </w:r>
      <w:r w:rsidRPr="00D5412F">
        <w:rPr>
          <w:sz w:val="24"/>
          <w:szCs w:val="24"/>
        </w:rPr>
        <w:t>UG</w:t>
      </w:r>
      <w:r w:rsidR="00997FB4" w:rsidRPr="00D5412F">
        <w:rPr>
          <w:sz w:val="24"/>
          <w:szCs w:val="24"/>
        </w:rPr>
        <w:t>:</w:t>
      </w:r>
    </w:p>
    <w:p w14:paraId="28214BD4" w14:textId="77777777" w:rsidR="00BC07B3" w:rsidRPr="00325E5D" w:rsidRDefault="00BC07B3" w:rsidP="00DC6055">
      <w:pPr>
        <w:pStyle w:val="Zitat"/>
      </w:pPr>
      <w:r w:rsidRPr="00325E5D">
        <w:t>Die Zulassung zu Universitätslehrgängen setzt den Nachweis der im Curriculum des betreffenden Universitätslehrganges geforderten Voraussetzungen voraus. Wird ein Universitätslehrgang als außerordentliches Bachelor- oder Masterstudium angeboten, sind davon abweichend folgende Voraussetzungen anzuwenden:</w:t>
      </w:r>
    </w:p>
    <w:p w14:paraId="19982C3D" w14:textId="7DE52817" w:rsidR="00BC07B3" w:rsidRPr="00325E5D" w:rsidRDefault="00BC07B3" w:rsidP="00DC6055">
      <w:pPr>
        <w:pStyle w:val="Zitat"/>
      </w:pPr>
      <w:r w:rsidRPr="00325E5D">
        <w:t xml:space="preserve">1. Voraussetzung für die Zulassung zu einem außerordentlichen Bachelorstudium ist </w:t>
      </w:r>
      <w:r w:rsidR="009F3270">
        <w:t xml:space="preserve">der Nachweis der im Curriculum des betreffenden </w:t>
      </w:r>
      <w:r w:rsidR="007A4CB7">
        <w:t>außerordentlichen Bachelorstudiums geforderten Voraussetzungen</w:t>
      </w:r>
      <w:r w:rsidRPr="00325E5D">
        <w:t xml:space="preserve"> und eine mehrjährige einschlägige Berufserfahrung.</w:t>
      </w:r>
    </w:p>
    <w:p w14:paraId="483C48D2" w14:textId="6A68B89E" w:rsidR="00BC07B3" w:rsidRDefault="00BC07B3" w:rsidP="00DC6055">
      <w:pPr>
        <w:pStyle w:val="Zitat"/>
      </w:pPr>
      <w:r w:rsidRPr="00325E5D">
        <w:t xml:space="preserve">2. Voraussetzung für die Zulassung zu einem außerordentlichen Bachelorstudium, in dem der akademische Grad „Bachelor Professional“ verliehen werden soll, ist eine einschlägige </w:t>
      </w:r>
      <w:r w:rsidR="00A460A4">
        <w:t xml:space="preserve">formale </w:t>
      </w:r>
      <w:r w:rsidRPr="00325E5D">
        <w:t>berufliche</w:t>
      </w:r>
      <w:r w:rsidR="00A460A4" w:rsidRPr="00325E5D">
        <w:t xml:space="preserve"> </w:t>
      </w:r>
      <w:r w:rsidRPr="00325E5D">
        <w:t xml:space="preserve">Qualifikation oder eine mehrjährige einschlägige Berufserfahrung. Wenn es das Curriculum erfordert, können </w:t>
      </w:r>
      <w:r w:rsidR="007A4CB7">
        <w:t xml:space="preserve">weitere Voraussetzungen und </w:t>
      </w:r>
      <w:r w:rsidRPr="00325E5D">
        <w:t>Ergänzungsprüfungen vorgesehen werden. Das Rektorat kann festlegen, welche dieser Ergänzungsprüfungen Voraussetzung für die Ablegung von im Curriculum des Universitätslehrganges vorgesehenen Prüfungen sind.</w:t>
      </w:r>
    </w:p>
    <w:p w14:paraId="1A602109" w14:textId="77777777" w:rsidR="00A459A1" w:rsidRDefault="00997FB4" w:rsidP="00DC6055">
      <w:pPr>
        <w:pStyle w:val="Listenabsatz"/>
        <w:numPr>
          <w:ilvl w:val="2"/>
          <w:numId w:val="18"/>
        </w:numPr>
        <w:spacing w:after="120" w:line="276" w:lineRule="auto"/>
        <w:contextualSpacing w:val="0"/>
        <w:jc w:val="both"/>
        <w:rPr>
          <w:sz w:val="24"/>
          <w:szCs w:val="24"/>
        </w:rPr>
      </w:pPr>
      <w:r w:rsidRPr="00A459A1">
        <w:rPr>
          <w:sz w:val="24"/>
          <w:szCs w:val="24"/>
        </w:rPr>
        <w:t>Umfang</w:t>
      </w:r>
      <w:r w:rsidR="006C6D40" w:rsidRPr="00A459A1">
        <w:rPr>
          <w:sz w:val="24"/>
          <w:szCs w:val="24"/>
        </w:rPr>
        <w:t>:</w:t>
      </w:r>
      <w:r w:rsidRPr="00A459A1">
        <w:rPr>
          <w:sz w:val="24"/>
          <w:szCs w:val="24"/>
        </w:rPr>
        <w:t xml:space="preserve"> 180 ECTS-AP.</w:t>
      </w:r>
    </w:p>
    <w:p w14:paraId="7F600DEE" w14:textId="4B8550E2" w:rsidR="002F6243" w:rsidRPr="001726B1" w:rsidRDefault="006C6D40" w:rsidP="00DC6055">
      <w:pPr>
        <w:pStyle w:val="Listenabsatz"/>
        <w:numPr>
          <w:ilvl w:val="2"/>
          <w:numId w:val="18"/>
        </w:numPr>
        <w:spacing w:after="120" w:line="276" w:lineRule="auto"/>
        <w:contextualSpacing w:val="0"/>
        <w:jc w:val="both"/>
        <w:rPr>
          <w:sz w:val="24"/>
          <w:szCs w:val="24"/>
          <w:lang w:val="en-US"/>
        </w:rPr>
      </w:pPr>
      <w:r w:rsidRPr="00A459A1">
        <w:rPr>
          <w:sz w:val="24"/>
          <w:szCs w:val="24"/>
        </w:rPr>
        <w:lastRenderedPageBreak/>
        <w:t xml:space="preserve">Im Curriculum des Universitätslehrganges dürfen im jeweiligen Fach </w:t>
      </w:r>
      <w:r w:rsidR="00992606" w:rsidRPr="00A459A1">
        <w:rPr>
          <w:sz w:val="24"/>
          <w:szCs w:val="24"/>
        </w:rPr>
        <w:t>Bachelorgrade gemäß § 87 Abs. 2 Z 1</w:t>
      </w:r>
      <w:r w:rsidR="00BC07B3" w:rsidRPr="00A459A1">
        <w:rPr>
          <w:sz w:val="24"/>
          <w:szCs w:val="24"/>
        </w:rPr>
        <w:t xml:space="preserve"> UG</w:t>
      </w:r>
      <w:r w:rsidR="00992606" w:rsidRPr="00A459A1">
        <w:rPr>
          <w:sz w:val="24"/>
          <w:szCs w:val="24"/>
        </w:rPr>
        <w:t xml:space="preserve"> festgelegt werden.</w:t>
      </w:r>
      <w:r w:rsidR="00A15838" w:rsidRPr="00A459A1">
        <w:rPr>
          <w:sz w:val="24"/>
          <w:szCs w:val="24"/>
        </w:rPr>
        <w:t xml:space="preserve"> </w:t>
      </w:r>
      <w:r w:rsidR="00AB64EF" w:rsidRPr="00A459A1">
        <w:rPr>
          <w:sz w:val="24"/>
          <w:szCs w:val="24"/>
          <w:lang w:val="en-US"/>
        </w:rPr>
        <w:t>Die akademischen Grade</w:t>
      </w:r>
      <w:r w:rsidR="006426D5" w:rsidRPr="00A459A1">
        <w:rPr>
          <w:sz w:val="24"/>
          <w:szCs w:val="24"/>
          <w:lang w:val="en-US"/>
        </w:rPr>
        <w:t xml:space="preserve"> lauten „Bachelor of Arts (Continuing Education)“, abgekürzt „BA (CE)“, „Bachelor of Science (Continuing Education)“, abgekürzt „BSc (CE)“, </w:t>
      </w:r>
      <w:r w:rsidR="00AB64EF" w:rsidRPr="00A459A1">
        <w:rPr>
          <w:sz w:val="24"/>
          <w:szCs w:val="24"/>
          <w:lang w:val="en-US"/>
        </w:rPr>
        <w:t xml:space="preserve">Bachelor of Engineering (Continuing Education)”, abgekürzt “BEng (CE)”, </w:t>
      </w:r>
      <w:r w:rsidR="006426D5" w:rsidRPr="00A459A1">
        <w:rPr>
          <w:sz w:val="24"/>
          <w:szCs w:val="24"/>
          <w:lang w:val="en-US"/>
        </w:rPr>
        <w:t>oder „Bachelor Professional“, abgekürzt „BPr“.</w:t>
      </w:r>
    </w:p>
    <w:p w14:paraId="674AB1EE" w14:textId="0CEA113D" w:rsidR="003B3A93" w:rsidRPr="00325E5D" w:rsidRDefault="003B3A93" w:rsidP="00DC6055">
      <w:pPr>
        <w:pStyle w:val="Listenabsatz"/>
        <w:numPr>
          <w:ilvl w:val="2"/>
          <w:numId w:val="18"/>
        </w:numPr>
        <w:spacing w:after="120" w:line="276" w:lineRule="auto"/>
        <w:contextualSpacing w:val="0"/>
        <w:jc w:val="both"/>
        <w:rPr>
          <w:sz w:val="24"/>
          <w:szCs w:val="24"/>
        </w:rPr>
      </w:pPr>
      <w:r w:rsidRPr="008B1A7B">
        <w:rPr>
          <w:sz w:val="24"/>
          <w:szCs w:val="24"/>
        </w:rPr>
        <w:t xml:space="preserve">Über den Abschluss des ao. </w:t>
      </w:r>
      <w:r>
        <w:rPr>
          <w:sz w:val="24"/>
          <w:szCs w:val="24"/>
        </w:rPr>
        <w:t>Bachelor</w:t>
      </w:r>
      <w:r w:rsidRPr="008B1A7B">
        <w:rPr>
          <w:sz w:val="24"/>
          <w:szCs w:val="24"/>
        </w:rPr>
        <w:t>studiums ist ein Zeugnis und ein Bescheid auszustellen.</w:t>
      </w:r>
    </w:p>
    <w:p w14:paraId="74525AAA" w14:textId="00267673" w:rsidR="002A729A" w:rsidRDefault="002A729A" w:rsidP="00DC6055">
      <w:pPr>
        <w:pStyle w:val="berschrift2"/>
        <w:jc w:val="both"/>
      </w:pPr>
      <w:r w:rsidRPr="00325E5D">
        <w:t>Außerordentliche</w:t>
      </w:r>
      <w:r w:rsidR="006C6D40">
        <w:t>s</w:t>
      </w:r>
      <w:r w:rsidRPr="00325E5D">
        <w:t xml:space="preserve"> Masterstudi</w:t>
      </w:r>
      <w:r w:rsidR="009248E3" w:rsidRPr="00325E5D">
        <w:t>um</w:t>
      </w:r>
      <w:r w:rsidRPr="00325E5D">
        <w:t xml:space="preserve"> </w:t>
      </w:r>
    </w:p>
    <w:p w14:paraId="26BD5CF4" w14:textId="6143E6AC" w:rsidR="00590993" w:rsidRPr="00A459A1" w:rsidRDefault="00694A2C" w:rsidP="00DC6055">
      <w:pPr>
        <w:pStyle w:val="Listenabsatz"/>
        <w:numPr>
          <w:ilvl w:val="2"/>
          <w:numId w:val="19"/>
        </w:numPr>
        <w:spacing w:after="120" w:line="276" w:lineRule="auto"/>
        <w:jc w:val="both"/>
        <w:rPr>
          <w:sz w:val="24"/>
          <w:szCs w:val="24"/>
        </w:rPr>
      </w:pPr>
      <w:r w:rsidRPr="00A459A1">
        <w:rPr>
          <w:sz w:val="24"/>
          <w:szCs w:val="24"/>
        </w:rPr>
        <w:t>Zulassung</w:t>
      </w:r>
      <w:r w:rsidR="00A459A1">
        <w:rPr>
          <w:sz w:val="24"/>
          <w:szCs w:val="24"/>
        </w:rPr>
        <w:t>s</w:t>
      </w:r>
      <w:r w:rsidR="00997FB4" w:rsidRPr="00A459A1">
        <w:rPr>
          <w:sz w:val="24"/>
          <w:szCs w:val="24"/>
        </w:rPr>
        <w:t>bedingungen</w:t>
      </w:r>
      <w:r w:rsidR="001E1859" w:rsidRPr="00A459A1">
        <w:rPr>
          <w:sz w:val="24"/>
          <w:szCs w:val="24"/>
        </w:rPr>
        <w:t xml:space="preserve"> </w:t>
      </w:r>
      <w:r w:rsidR="00997FB4" w:rsidRPr="00A459A1">
        <w:rPr>
          <w:sz w:val="24"/>
          <w:szCs w:val="24"/>
        </w:rPr>
        <w:t xml:space="preserve">gemäß </w:t>
      </w:r>
      <w:r w:rsidR="001E1859" w:rsidRPr="00A459A1">
        <w:rPr>
          <w:sz w:val="24"/>
          <w:szCs w:val="24"/>
        </w:rPr>
        <w:t xml:space="preserve">§ 70 Abs. 1 Z </w:t>
      </w:r>
      <w:r w:rsidR="007F5957" w:rsidRPr="00A459A1">
        <w:rPr>
          <w:sz w:val="24"/>
          <w:szCs w:val="24"/>
        </w:rPr>
        <w:t>3</w:t>
      </w:r>
      <w:r w:rsidR="00A460A4" w:rsidRPr="00A459A1">
        <w:rPr>
          <w:sz w:val="24"/>
          <w:szCs w:val="24"/>
        </w:rPr>
        <w:t xml:space="preserve"> und 4</w:t>
      </w:r>
      <w:r w:rsidR="001E1859" w:rsidRPr="00A459A1">
        <w:rPr>
          <w:sz w:val="24"/>
          <w:szCs w:val="24"/>
        </w:rPr>
        <w:t xml:space="preserve"> UG</w:t>
      </w:r>
      <w:r w:rsidR="00590993" w:rsidRPr="00A459A1">
        <w:rPr>
          <w:sz w:val="24"/>
          <w:szCs w:val="24"/>
        </w:rPr>
        <w:t>:</w:t>
      </w:r>
    </w:p>
    <w:p w14:paraId="77726D1F" w14:textId="3CDFDC35" w:rsidR="00155706" w:rsidRDefault="00CB05DA" w:rsidP="00DC6055">
      <w:pPr>
        <w:pStyle w:val="Zitat"/>
      </w:pPr>
      <w:r w:rsidRPr="00CB05DA">
        <w:rPr>
          <w:i w:val="0"/>
        </w:rPr>
        <w:t>3.</w:t>
      </w:r>
      <w:r>
        <w:t xml:space="preserve"> </w:t>
      </w:r>
      <w:r w:rsidR="001E1859" w:rsidRPr="00325E5D">
        <w:t xml:space="preserve">Voraussetzung für die Zulassung zu einem außerordentlichen Masterstudium ist der Abschluss eines </w:t>
      </w:r>
      <w:r w:rsidR="001E1859" w:rsidRPr="00A459A1">
        <w:t>fachlich in Frage kommenden Bachelorstudiums, eines anderen fachlich in Frage kommenden Studiums mindestens desselben hochschulischen Bildungsniveaus an einer anerkannten inländischen oder ausländischen postsekundären Bildungseinrichtung oder ein im Curriculum des Universitätslehrganges definiertes Studium</w:t>
      </w:r>
      <w:r w:rsidR="00155706" w:rsidRPr="00A459A1">
        <w:t xml:space="preserve"> mit</w:t>
      </w:r>
      <w:r w:rsidR="00155706">
        <w:t xml:space="preserve"> mindestens 180 ECTS-Anrechnungspunkten</w:t>
      </w:r>
      <w:r w:rsidR="001E1859" w:rsidRPr="00325E5D">
        <w:t xml:space="preserve"> und eine mehrjährige einschlägige Berufserfahrung.</w:t>
      </w:r>
      <w:r w:rsidR="00155706">
        <w:t xml:space="preserve"> Wenn es das Curriculum erfordert, können weitere Voraussetzungen vorgesehen werden.</w:t>
      </w:r>
      <w:r w:rsidR="001E1859" w:rsidRPr="00325E5D">
        <w:t xml:space="preserve"> Zum Ausgleich wesentlicher fachlicher Unterschiede können Ergänzungsprüfungen vorgeschrieben werden. Das Rektorat kann festlegen, welche dieser Ergänzungsprüfungen Voraussetzung für die Ablegung von im Curriculum des Universitätslehrganges vorgesehenen Prüfungen sind.</w:t>
      </w:r>
    </w:p>
    <w:p w14:paraId="3ACD4D94" w14:textId="0FEFF994" w:rsidR="001E1859" w:rsidRPr="007A4CB7" w:rsidRDefault="00D17F59" w:rsidP="00DC6055">
      <w:pPr>
        <w:pStyle w:val="Zitat"/>
        <w:rPr>
          <w:sz w:val="18"/>
          <w:szCs w:val="18"/>
        </w:rPr>
      </w:pPr>
      <w:r>
        <w:t xml:space="preserve">4. </w:t>
      </w:r>
      <w:r w:rsidR="001E1859" w:rsidRPr="00325E5D">
        <w:t xml:space="preserve">Abweichend </w:t>
      </w:r>
      <w:r w:rsidR="00A460A4">
        <w:t>von Z 3</w:t>
      </w:r>
      <w:r w:rsidR="001E1859" w:rsidRPr="00325E5D">
        <w:t xml:space="preserve"> kann für Universitätslehrgänge, in denen der akademische Grad „Master of Business Administration“ </w:t>
      </w:r>
      <w:r w:rsidR="00A460A4">
        <w:t xml:space="preserve">gemäß § 87 Abs. 2 Z </w:t>
      </w:r>
      <w:r w:rsidR="009A6236">
        <w:t>3 oder „Executive Master of Business Administration“ gemäß § 87 Abs. 2 Z 4</w:t>
      </w:r>
      <w:r w:rsidR="00A460A4">
        <w:t xml:space="preserve"> </w:t>
      </w:r>
      <w:r w:rsidR="001E1859" w:rsidRPr="00325E5D">
        <w:t>verliehen wird, im Curriculum auch eine</w:t>
      </w:r>
      <w:r w:rsidR="009A6236">
        <w:t xml:space="preserve"> mehrjährige</w:t>
      </w:r>
      <w:r w:rsidR="00A14C02">
        <w:t xml:space="preserve"> </w:t>
      </w:r>
      <w:r w:rsidR="001E1859" w:rsidRPr="00325E5D">
        <w:t xml:space="preserve">einschlägige </w:t>
      </w:r>
      <w:r w:rsidR="009A6236">
        <w:t>Berufserfahrung</w:t>
      </w:r>
      <w:r w:rsidR="001E1859" w:rsidRPr="00325E5D">
        <w:t xml:space="preserve"> als Zu</w:t>
      </w:r>
      <w:r w:rsidR="009A6236">
        <w:t>gangs</w:t>
      </w:r>
      <w:r w:rsidR="001E1859" w:rsidRPr="00325E5D">
        <w:t>voraussetzung festgelegt werden, sofern Zu</w:t>
      </w:r>
      <w:r w:rsidR="009A6236">
        <w:t>gangs</w:t>
      </w:r>
      <w:r w:rsidR="001E1859" w:rsidRPr="00325E5D">
        <w:t>bedingungen, Umfang und Anforderungen mit Z</w:t>
      </w:r>
      <w:r w:rsidR="009A6236">
        <w:t>ugangs</w:t>
      </w:r>
      <w:r w:rsidR="001E1859" w:rsidRPr="00325E5D">
        <w:t>bedingungen, Umfang und Anforderungen mehrerer fachlich in Frage kommender ausländischer Masterstudien nachweislich vergleichbar sind.</w:t>
      </w:r>
      <w:r w:rsidR="00155706">
        <w:t xml:space="preserve"> </w:t>
      </w:r>
      <w:r w:rsidR="009A6236">
        <w:t xml:space="preserve">Dies ist im Curriculum des Universitätslehrgangs entsprechend nachzuweisen. </w:t>
      </w:r>
      <w:r w:rsidR="00155706">
        <w:t xml:space="preserve">Wenn es das Curriculum erfordert, können weitere </w:t>
      </w:r>
      <w:r w:rsidR="00155706" w:rsidRPr="00D17F59">
        <w:t>Voraussetzungen vorgesehen werden. Für diese Universitätslehrgänge kommt § 56 Abs. 2 letzter Satz nicht zur Anwendung</w:t>
      </w:r>
      <w:r w:rsidR="007A4CB7" w:rsidRPr="00D17F59">
        <w:t xml:space="preserve"> </w:t>
      </w:r>
      <w:r w:rsidR="007A4CB7" w:rsidRPr="00D17F59">
        <w:rPr>
          <w:sz w:val="18"/>
        </w:rPr>
        <w:t>(</w:t>
      </w:r>
      <w:r w:rsidR="00155706" w:rsidRPr="00D17F59">
        <w:rPr>
          <w:sz w:val="18"/>
        </w:rPr>
        <w:t>Der Arbeitsaufwand für ein außerordentliches Masterstudium kann in Ausnahmefällen weniger ECTS-Anrechnungspunkte betragen, wenn dieses in Umfang und Anforderungen mit mehreren fachlich in Frage kommenden ausländischen Masterstudien vergleichbar ist</w:t>
      </w:r>
      <w:r w:rsidR="007A4CB7" w:rsidRPr="00D17F59">
        <w:rPr>
          <w:sz w:val="18"/>
        </w:rPr>
        <w:t>)</w:t>
      </w:r>
      <w:r w:rsidR="00155706" w:rsidRPr="00D17F59">
        <w:t>.</w:t>
      </w:r>
    </w:p>
    <w:p w14:paraId="34B485D9" w14:textId="6876F706" w:rsidR="002F6243" w:rsidRPr="00A459A1" w:rsidRDefault="00997FB4" w:rsidP="00DC6055">
      <w:pPr>
        <w:pStyle w:val="Listenabsatz"/>
        <w:numPr>
          <w:ilvl w:val="2"/>
          <w:numId w:val="19"/>
        </w:numPr>
        <w:spacing w:after="120" w:line="276" w:lineRule="auto"/>
        <w:contextualSpacing w:val="0"/>
        <w:jc w:val="both"/>
        <w:rPr>
          <w:sz w:val="24"/>
          <w:szCs w:val="24"/>
        </w:rPr>
      </w:pPr>
      <w:r w:rsidRPr="00A459A1">
        <w:rPr>
          <w:sz w:val="24"/>
          <w:szCs w:val="24"/>
        </w:rPr>
        <w:lastRenderedPageBreak/>
        <w:t>Umfang</w:t>
      </w:r>
      <w:r w:rsidR="006C6D40" w:rsidRPr="00A459A1">
        <w:rPr>
          <w:sz w:val="24"/>
          <w:szCs w:val="24"/>
        </w:rPr>
        <w:t>:</w:t>
      </w:r>
      <w:r w:rsidRPr="00A459A1">
        <w:rPr>
          <w:sz w:val="24"/>
          <w:szCs w:val="24"/>
        </w:rPr>
        <w:t xml:space="preserve"> 120 ECTS-AP</w:t>
      </w:r>
      <w:r w:rsidR="007F5957" w:rsidRPr="00A459A1">
        <w:rPr>
          <w:sz w:val="24"/>
          <w:szCs w:val="24"/>
        </w:rPr>
        <w:t xml:space="preserve">. Der Arbeitsaufwand für ein ao. Masterstudium kann </w:t>
      </w:r>
      <w:r w:rsidR="009A6236" w:rsidRPr="00A459A1">
        <w:rPr>
          <w:sz w:val="24"/>
          <w:szCs w:val="24"/>
        </w:rPr>
        <w:t xml:space="preserve">gemäß § 70 Abs. 1 Z 4 </w:t>
      </w:r>
      <w:r w:rsidR="007F5957" w:rsidRPr="00A459A1">
        <w:rPr>
          <w:sz w:val="24"/>
          <w:szCs w:val="24"/>
        </w:rPr>
        <w:t xml:space="preserve">weniger ECTS-AP betragen, wenn dieses in </w:t>
      </w:r>
      <w:r w:rsidR="008D364A" w:rsidRPr="00A459A1">
        <w:rPr>
          <w:sz w:val="24"/>
          <w:szCs w:val="24"/>
        </w:rPr>
        <w:t xml:space="preserve">Zugangsbedingungen, </w:t>
      </w:r>
      <w:r w:rsidR="007F5957" w:rsidRPr="00A459A1">
        <w:rPr>
          <w:sz w:val="24"/>
          <w:szCs w:val="24"/>
        </w:rPr>
        <w:t>Um</w:t>
      </w:r>
      <w:r w:rsidR="008D364A" w:rsidRPr="00A459A1">
        <w:rPr>
          <w:sz w:val="24"/>
          <w:szCs w:val="24"/>
        </w:rPr>
        <w:t>f</w:t>
      </w:r>
      <w:r w:rsidR="007F5957" w:rsidRPr="00A459A1">
        <w:rPr>
          <w:sz w:val="24"/>
          <w:szCs w:val="24"/>
        </w:rPr>
        <w:t>ang und Anforderungen mit mehreren fachlich in Fragen kommenden ausländischen Masterstudien vergleichbar ist.</w:t>
      </w:r>
    </w:p>
    <w:p w14:paraId="35C1DB16" w14:textId="0B408561" w:rsidR="0058459C" w:rsidRPr="00A459A1" w:rsidRDefault="0058459C" w:rsidP="00DC6055">
      <w:pPr>
        <w:pStyle w:val="Listenabsatz"/>
        <w:numPr>
          <w:ilvl w:val="2"/>
          <w:numId w:val="19"/>
        </w:numPr>
        <w:spacing w:after="120" w:line="276" w:lineRule="auto"/>
        <w:contextualSpacing w:val="0"/>
        <w:jc w:val="both"/>
        <w:rPr>
          <w:sz w:val="24"/>
          <w:szCs w:val="24"/>
        </w:rPr>
      </w:pPr>
      <w:r w:rsidRPr="00A459A1">
        <w:rPr>
          <w:sz w:val="24"/>
          <w:szCs w:val="24"/>
        </w:rPr>
        <w:t>Im Curriculum ist eine Master</w:t>
      </w:r>
      <w:r w:rsidR="00E9463E" w:rsidRPr="00A459A1">
        <w:rPr>
          <w:sz w:val="24"/>
          <w:szCs w:val="24"/>
        </w:rPr>
        <w:t>arbeit</w:t>
      </w:r>
      <w:r w:rsidRPr="00A459A1">
        <w:rPr>
          <w:sz w:val="24"/>
          <w:szCs w:val="24"/>
        </w:rPr>
        <w:t xml:space="preserve"> im Umfang von mindestens </w:t>
      </w:r>
      <w:r w:rsidR="00A326C8" w:rsidRPr="00A459A1">
        <w:rPr>
          <w:sz w:val="24"/>
          <w:szCs w:val="24"/>
        </w:rPr>
        <w:t>2</w:t>
      </w:r>
      <w:r w:rsidR="008D364A" w:rsidRPr="00A459A1">
        <w:rPr>
          <w:sz w:val="24"/>
          <w:szCs w:val="24"/>
        </w:rPr>
        <w:t>0</w:t>
      </w:r>
      <w:r w:rsidRPr="00A459A1">
        <w:rPr>
          <w:sz w:val="24"/>
          <w:szCs w:val="24"/>
        </w:rPr>
        <w:t xml:space="preserve"> ECTS-AP festzulegen.</w:t>
      </w:r>
      <w:r w:rsidR="00A459A1" w:rsidRPr="00A459A1">
        <w:rPr>
          <w:sz w:val="24"/>
          <w:szCs w:val="24"/>
        </w:rPr>
        <w:t xml:space="preserve"> </w:t>
      </w:r>
      <w:r w:rsidRPr="00A459A1">
        <w:rPr>
          <w:sz w:val="24"/>
          <w:szCs w:val="24"/>
        </w:rPr>
        <w:t>Für die Betreuung und Beurteilung der Master</w:t>
      </w:r>
      <w:r w:rsidR="00E9463E" w:rsidRPr="00A459A1">
        <w:rPr>
          <w:sz w:val="24"/>
          <w:szCs w:val="24"/>
        </w:rPr>
        <w:t>arbeit</w:t>
      </w:r>
      <w:r w:rsidRPr="00A459A1">
        <w:rPr>
          <w:sz w:val="24"/>
          <w:szCs w:val="24"/>
        </w:rPr>
        <w:t xml:space="preserve"> gilt § 24 Satzungsteil „Studienrechtliche Bestimmungen“ sinngemäß.</w:t>
      </w:r>
      <w:r w:rsidR="002F6243" w:rsidRPr="00A459A1">
        <w:rPr>
          <w:sz w:val="24"/>
          <w:szCs w:val="24"/>
        </w:rPr>
        <w:t xml:space="preserve"> </w:t>
      </w:r>
      <w:r w:rsidRPr="00A459A1">
        <w:rPr>
          <w:sz w:val="24"/>
          <w:szCs w:val="24"/>
        </w:rPr>
        <w:t xml:space="preserve">Bei der Bearbeitung des Themas und der Betreuung der Studierenden sind die Bestimmungen des Urheberrechtsgesetzes, BGBl. Nr. 111/1936, </w:t>
      </w:r>
      <w:r w:rsidR="00A14C02" w:rsidRPr="00A459A1">
        <w:rPr>
          <w:sz w:val="24"/>
          <w:szCs w:val="24"/>
        </w:rPr>
        <w:t xml:space="preserve">in der geltenden Fassung, </w:t>
      </w:r>
      <w:r w:rsidRPr="00A459A1">
        <w:rPr>
          <w:sz w:val="24"/>
          <w:szCs w:val="24"/>
        </w:rPr>
        <w:t>zu beachten.</w:t>
      </w:r>
    </w:p>
    <w:p w14:paraId="5CB1D5D1" w14:textId="044650DA" w:rsidR="006C6D40" w:rsidRDefault="0058459C" w:rsidP="00DC6055">
      <w:pPr>
        <w:pStyle w:val="Listenabsatz"/>
        <w:numPr>
          <w:ilvl w:val="2"/>
          <w:numId w:val="19"/>
        </w:numPr>
        <w:spacing w:after="120" w:line="276" w:lineRule="auto"/>
        <w:contextualSpacing w:val="0"/>
        <w:jc w:val="both"/>
        <w:rPr>
          <w:sz w:val="24"/>
          <w:szCs w:val="24"/>
        </w:rPr>
      </w:pPr>
      <w:r w:rsidRPr="00325E5D">
        <w:rPr>
          <w:sz w:val="24"/>
          <w:szCs w:val="24"/>
        </w:rPr>
        <w:t xml:space="preserve">Im Curriculum des Universitätslehrganges dürfen im jeweiligen Fach </w:t>
      </w:r>
      <w:r w:rsidR="00992606" w:rsidRPr="00325E5D">
        <w:rPr>
          <w:sz w:val="24"/>
          <w:szCs w:val="24"/>
        </w:rPr>
        <w:t xml:space="preserve">Mastergrade gemäß § 87 Abs. 2 Z 2 – 5 UG </w:t>
      </w:r>
      <w:r w:rsidRPr="00325E5D">
        <w:rPr>
          <w:sz w:val="24"/>
          <w:szCs w:val="24"/>
        </w:rPr>
        <w:t>festgelegt werden</w:t>
      </w:r>
      <w:r w:rsidR="00A459A1">
        <w:rPr>
          <w:sz w:val="24"/>
          <w:szCs w:val="24"/>
        </w:rPr>
        <w:t>:</w:t>
      </w:r>
    </w:p>
    <w:p w14:paraId="18986382" w14:textId="47302A12" w:rsidR="00D17F59" w:rsidRDefault="00D17F59" w:rsidP="00DC6055">
      <w:pPr>
        <w:pStyle w:val="Zitat"/>
      </w:pPr>
      <w:r>
        <w:t>Den Absolventinnen und Absolventen</w:t>
      </w:r>
    </w:p>
    <w:p w14:paraId="65901043" w14:textId="10AFAE61" w:rsidR="00D17F59" w:rsidRPr="00D17F59" w:rsidRDefault="00D17F59" w:rsidP="00DC6055">
      <w:pPr>
        <w:pStyle w:val="Zitat"/>
        <w:rPr>
          <w:lang w:eastAsia="de-AT"/>
        </w:rPr>
      </w:pPr>
      <w:r w:rsidRPr="00D17F59">
        <w:rPr>
          <w:lang w:eastAsia="de-AT"/>
        </w:rPr>
        <w:t>2. von außerordentlichen Masterstudien ist der akademische Grad „Master of Arts (Continuing Education)“, abgekürzt „MA (CE)“, „Master of Science (Continuing Education)“, abgekürzt „MSc (CE)“, „Master of Engineering (Continuing Education)“, abgekürzt „MEng (CE)“, oder „Master Professional“, abgekürzt „MPr“, zu verleihen.</w:t>
      </w:r>
    </w:p>
    <w:p w14:paraId="6573547D" w14:textId="6A375C56" w:rsidR="00D17F59" w:rsidRPr="00D17F59" w:rsidRDefault="00D17F59" w:rsidP="00DC6055">
      <w:pPr>
        <w:pStyle w:val="Zitat"/>
        <w:rPr>
          <w:lang w:eastAsia="de-AT"/>
        </w:rPr>
      </w:pPr>
      <w:r w:rsidRPr="00D17F59">
        <w:rPr>
          <w:lang w:eastAsia="de-AT"/>
        </w:rPr>
        <w:t>3.</w:t>
      </w:r>
      <w:r>
        <w:rPr>
          <w:lang w:eastAsia="de-AT"/>
        </w:rPr>
        <w:t xml:space="preserve"> </w:t>
      </w:r>
      <w:r w:rsidRPr="00D17F59">
        <w:rPr>
          <w:lang w:eastAsia="de-AT"/>
        </w:rPr>
        <w:t>von außerordentlichen Masterstudien im Bereich „Business Administration“ ist der akademische Grad „Master of Business Administration“, abgekürzt „MBA“, zu verleihen, sofern Zugangsbedingungen, Umfang und Anforderungen mit Zugangsbedingungen, Umfang und Anforderungen mehrerer fachlich in Frage kommender ausländischer MBA-Masterstudien nachweislich vergleichbar sind.</w:t>
      </w:r>
    </w:p>
    <w:p w14:paraId="21327BE9" w14:textId="015A5A6A" w:rsidR="00D17F59" w:rsidRPr="00D17F59" w:rsidRDefault="00D17F59" w:rsidP="00DC6055">
      <w:pPr>
        <w:pStyle w:val="Zitat"/>
        <w:rPr>
          <w:lang w:eastAsia="de-AT"/>
        </w:rPr>
      </w:pPr>
      <w:r w:rsidRPr="00D17F59">
        <w:rPr>
          <w:lang w:eastAsia="de-AT"/>
        </w:rPr>
        <w:t>4.</w:t>
      </w:r>
      <w:r>
        <w:rPr>
          <w:lang w:eastAsia="de-AT"/>
        </w:rPr>
        <w:t xml:space="preserve"> </w:t>
      </w:r>
      <w:r w:rsidRPr="00D17F59">
        <w:rPr>
          <w:lang w:eastAsia="de-AT"/>
        </w:rPr>
        <w:t>von außerordentlichen Masterstudien im Bereich „Business Administration“ ist der akademische Grad „Executive Master of Business Administration“, abgekürzt „EMBA“, zu verleihen, sofern Zugangsbedingungen, Umfang und Anforderungen mit Zugangsbedingungen, Umfang und Anforderungen mehrerer fachlich in Frage kommender ausländischer EMBA-Masterstudien nachweislich vergleichbar sind.</w:t>
      </w:r>
    </w:p>
    <w:p w14:paraId="2B7F1F2E" w14:textId="380D3858" w:rsidR="00D17F59" w:rsidRPr="00D17F59" w:rsidRDefault="00D17F59" w:rsidP="00DC6055">
      <w:pPr>
        <w:pStyle w:val="Zitat"/>
        <w:rPr>
          <w:lang w:eastAsia="de-AT"/>
        </w:rPr>
      </w:pPr>
      <w:r w:rsidRPr="00D17F59">
        <w:rPr>
          <w:lang w:eastAsia="de-AT"/>
        </w:rPr>
        <w:t>5.</w:t>
      </w:r>
      <w:r>
        <w:rPr>
          <w:lang w:eastAsia="de-AT"/>
        </w:rPr>
        <w:t xml:space="preserve"> </w:t>
      </w:r>
      <w:r w:rsidRPr="00D17F59">
        <w:rPr>
          <w:lang w:eastAsia="de-AT"/>
        </w:rPr>
        <w:t>von außerordentlichen Masterstudien im Bereich „Recht“ ist der akademische Grad „Master of Laws“, abgekürzt „LL.M.“, zu verleihen, sofern Zugangsbedingungen, Umfang und Anforderungen mit Zugangsbedingungen, Umfang und Anforderungen mehrerer fachlich in Frage kommender ausländischer Masterstudien nachweislich vergleichbar sind.</w:t>
      </w:r>
    </w:p>
    <w:p w14:paraId="0A62F645" w14:textId="5367C93F" w:rsidR="0058459C" w:rsidRPr="00A459A1" w:rsidRDefault="0058459C" w:rsidP="00DC6055">
      <w:pPr>
        <w:pStyle w:val="Listenabsatz"/>
        <w:numPr>
          <w:ilvl w:val="2"/>
          <w:numId w:val="19"/>
        </w:numPr>
        <w:spacing w:after="120" w:line="276" w:lineRule="auto"/>
        <w:jc w:val="both"/>
        <w:rPr>
          <w:sz w:val="24"/>
          <w:szCs w:val="24"/>
        </w:rPr>
      </w:pPr>
      <w:r w:rsidRPr="00A459A1">
        <w:rPr>
          <w:sz w:val="24"/>
          <w:szCs w:val="24"/>
        </w:rPr>
        <w:t xml:space="preserve">Über den Abschluss des </w:t>
      </w:r>
      <w:r w:rsidR="009248E3" w:rsidRPr="00A459A1">
        <w:rPr>
          <w:sz w:val="24"/>
          <w:szCs w:val="24"/>
        </w:rPr>
        <w:t>ao. Masterstudiums</w:t>
      </w:r>
      <w:r w:rsidRPr="00A459A1">
        <w:rPr>
          <w:sz w:val="24"/>
          <w:szCs w:val="24"/>
        </w:rPr>
        <w:t xml:space="preserve"> ist ein Zeugnis </w:t>
      </w:r>
      <w:r w:rsidR="00992606" w:rsidRPr="00A459A1">
        <w:rPr>
          <w:sz w:val="24"/>
          <w:szCs w:val="24"/>
        </w:rPr>
        <w:t xml:space="preserve">und ein Bescheid </w:t>
      </w:r>
      <w:r w:rsidRPr="00A459A1">
        <w:rPr>
          <w:sz w:val="24"/>
          <w:szCs w:val="24"/>
        </w:rPr>
        <w:t>auszustellen.</w:t>
      </w:r>
    </w:p>
    <w:p w14:paraId="118E767B" w14:textId="40A4D56E" w:rsidR="0058459C" w:rsidRDefault="0058459C" w:rsidP="00DC6055">
      <w:pPr>
        <w:pStyle w:val="berschrift2"/>
        <w:jc w:val="both"/>
      </w:pPr>
      <w:r w:rsidRPr="00325E5D">
        <w:lastRenderedPageBreak/>
        <w:t>Universitäts</w:t>
      </w:r>
      <w:r w:rsidR="009248E3" w:rsidRPr="00325E5D">
        <w:t>studiengang</w:t>
      </w:r>
    </w:p>
    <w:p w14:paraId="6DCD2B45" w14:textId="0AA3FF9F" w:rsidR="009248E3" w:rsidRPr="00A459A1" w:rsidRDefault="009248E3" w:rsidP="00DC6055">
      <w:pPr>
        <w:pStyle w:val="Listenabsatz"/>
        <w:numPr>
          <w:ilvl w:val="2"/>
          <w:numId w:val="20"/>
        </w:numPr>
        <w:spacing w:after="120" w:line="276" w:lineRule="auto"/>
        <w:jc w:val="both"/>
        <w:rPr>
          <w:sz w:val="24"/>
          <w:szCs w:val="24"/>
        </w:rPr>
      </w:pPr>
      <w:bookmarkStart w:id="1" w:name="_Hlk169524403"/>
      <w:r w:rsidRPr="00A459A1">
        <w:rPr>
          <w:sz w:val="24"/>
          <w:szCs w:val="24"/>
        </w:rPr>
        <w:t>Zulassungsbedingungen</w:t>
      </w:r>
      <w:r w:rsidR="007E7EB5" w:rsidRPr="00A459A1">
        <w:rPr>
          <w:sz w:val="24"/>
          <w:szCs w:val="24"/>
        </w:rPr>
        <w:t xml:space="preserve"> sind gesetzlich nicht vorgegeben. Folgende Zulassungsbedingungen wären wünschenswert:</w:t>
      </w:r>
    </w:p>
    <w:p w14:paraId="24273F1F" w14:textId="314C3877" w:rsidR="00FE2600" w:rsidRPr="00EA16C2" w:rsidRDefault="00FE2600" w:rsidP="00DC6055">
      <w:pPr>
        <w:pStyle w:val="Listenabsatz"/>
        <w:numPr>
          <w:ilvl w:val="0"/>
          <w:numId w:val="11"/>
        </w:numPr>
        <w:spacing w:after="120" w:line="276" w:lineRule="auto"/>
        <w:jc w:val="both"/>
        <w:rPr>
          <w:sz w:val="24"/>
          <w:szCs w:val="24"/>
        </w:rPr>
      </w:pPr>
      <w:r w:rsidRPr="00EA16C2">
        <w:rPr>
          <w:sz w:val="24"/>
          <w:szCs w:val="24"/>
        </w:rPr>
        <w:t>Abgeschlossenes österreichisches oder gleichwertiges ausländisches Hochschulstudium (mindestens Bachelorniveau mit mindestens 180 ECTS-AP) oder</w:t>
      </w:r>
    </w:p>
    <w:p w14:paraId="48A524EE" w14:textId="6AED6C0B" w:rsidR="00FE2600" w:rsidRPr="00EA16C2" w:rsidRDefault="00FE2600" w:rsidP="00DC6055">
      <w:pPr>
        <w:pStyle w:val="Listenabsatz"/>
        <w:numPr>
          <w:ilvl w:val="0"/>
          <w:numId w:val="11"/>
        </w:numPr>
        <w:spacing w:after="120" w:line="276" w:lineRule="auto"/>
        <w:jc w:val="both"/>
        <w:rPr>
          <w:sz w:val="24"/>
          <w:szCs w:val="24"/>
        </w:rPr>
      </w:pPr>
      <w:r w:rsidRPr="00EA16C2">
        <w:rPr>
          <w:sz w:val="24"/>
          <w:szCs w:val="24"/>
        </w:rPr>
        <w:t>allgemeine Universitätsreife oder</w:t>
      </w:r>
    </w:p>
    <w:p w14:paraId="3698E393" w14:textId="3156D4A3" w:rsidR="00FE2600" w:rsidRPr="00EA16C2" w:rsidRDefault="00FE2600" w:rsidP="00DC6055">
      <w:pPr>
        <w:pStyle w:val="Listenabsatz"/>
        <w:numPr>
          <w:ilvl w:val="0"/>
          <w:numId w:val="11"/>
        </w:numPr>
        <w:spacing w:after="120" w:line="276" w:lineRule="auto"/>
        <w:jc w:val="both"/>
        <w:rPr>
          <w:sz w:val="24"/>
          <w:szCs w:val="24"/>
        </w:rPr>
      </w:pPr>
      <w:r w:rsidRPr="00EA16C2">
        <w:rPr>
          <w:sz w:val="24"/>
          <w:szCs w:val="24"/>
        </w:rPr>
        <w:t xml:space="preserve">bei fehlender Universitätsreife mindestens </w:t>
      </w:r>
      <w:r w:rsidR="00EA16C2" w:rsidRPr="00EA16C2">
        <w:rPr>
          <w:sz w:val="24"/>
          <w:szCs w:val="24"/>
        </w:rPr>
        <w:t>zwei</w:t>
      </w:r>
      <w:r w:rsidRPr="00EA16C2">
        <w:rPr>
          <w:sz w:val="24"/>
          <w:szCs w:val="24"/>
        </w:rPr>
        <w:t xml:space="preserve"> Jahre einschlägige Berufserfahrung (Aus- und Weiterbildungszeiten können eingerechnet werden) sowie</w:t>
      </w:r>
    </w:p>
    <w:p w14:paraId="50E84A8C" w14:textId="5AB6C4FD" w:rsidR="002F6243" w:rsidRPr="00A459A1" w:rsidRDefault="00FE2600" w:rsidP="00DC6055">
      <w:pPr>
        <w:pStyle w:val="Listenabsatz"/>
        <w:numPr>
          <w:ilvl w:val="0"/>
          <w:numId w:val="11"/>
        </w:numPr>
        <w:spacing w:after="120" w:line="276" w:lineRule="auto"/>
        <w:contextualSpacing w:val="0"/>
        <w:jc w:val="both"/>
        <w:rPr>
          <w:sz w:val="24"/>
          <w:szCs w:val="24"/>
        </w:rPr>
      </w:pPr>
      <w:r w:rsidRPr="00EA16C2">
        <w:rPr>
          <w:sz w:val="24"/>
          <w:szCs w:val="24"/>
        </w:rPr>
        <w:t>positiver Abschluss des Auswahlverfahrens der Universität Innsbruck</w:t>
      </w:r>
      <w:r w:rsidR="003D3BC6" w:rsidRPr="00EA16C2">
        <w:rPr>
          <w:sz w:val="24"/>
          <w:szCs w:val="24"/>
        </w:rPr>
        <w:t>.</w:t>
      </w:r>
    </w:p>
    <w:bookmarkEnd w:id="1"/>
    <w:p w14:paraId="31D5CDBA" w14:textId="7C76127A" w:rsidR="003D3BC6" w:rsidRPr="00A459A1" w:rsidRDefault="003B46C4" w:rsidP="00DC6055">
      <w:pPr>
        <w:pStyle w:val="Listenabsatz"/>
        <w:numPr>
          <w:ilvl w:val="2"/>
          <w:numId w:val="20"/>
        </w:numPr>
        <w:spacing w:after="120" w:line="276" w:lineRule="auto"/>
        <w:contextualSpacing w:val="0"/>
        <w:jc w:val="both"/>
        <w:rPr>
          <w:sz w:val="24"/>
          <w:szCs w:val="24"/>
        </w:rPr>
      </w:pPr>
      <w:r w:rsidRPr="00A459A1">
        <w:rPr>
          <w:sz w:val="24"/>
          <w:szCs w:val="24"/>
        </w:rPr>
        <w:t>Umfang</w:t>
      </w:r>
      <w:r w:rsidR="004417A3" w:rsidRPr="00A459A1">
        <w:rPr>
          <w:sz w:val="24"/>
          <w:szCs w:val="24"/>
        </w:rPr>
        <w:t>:</w:t>
      </w:r>
      <w:r w:rsidRPr="00A459A1">
        <w:rPr>
          <w:sz w:val="24"/>
          <w:szCs w:val="24"/>
        </w:rPr>
        <w:t xml:space="preserve"> mindestens 16 ECTS-AP</w:t>
      </w:r>
      <w:r w:rsidR="002F6243" w:rsidRPr="00A459A1">
        <w:rPr>
          <w:sz w:val="24"/>
          <w:szCs w:val="24"/>
        </w:rPr>
        <w:t>.</w:t>
      </w:r>
    </w:p>
    <w:p w14:paraId="03A52409" w14:textId="30AFFF2B" w:rsidR="0058459C" w:rsidRPr="00A459A1" w:rsidRDefault="0058459C" w:rsidP="00DC6055">
      <w:pPr>
        <w:pStyle w:val="Listenabsatz"/>
        <w:numPr>
          <w:ilvl w:val="2"/>
          <w:numId w:val="20"/>
        </w:numPr>
        <w:spacing w:after="120" w:line="276" w:lineRule="auto"/>
        <w:contextualSpacing w:val="0"/>
        <w:jc w:val="both"/>
        <w:rPr>
          <w:sz w:val="24"/>
          <w:szCs w:val="24"/>
        </w:rPr>
      </w:pPr>
      <w:r w:rsidRPr="00A459A1">
        <w:rPr>
          <w:sz w:val="24"/>
          <w:szCs w:val="24"/>
        </w:rPr>
        <w:t xml:space="preserve">Im Curriculum </w:t>
      </w:r>
      <w:r w:rsidR="002021DF" w:rsidRPr="00A459A1">
        <w:rPr>
          <w:sz w:val="24"/>
          <w:szCs w:val="24"/>
        </w:rPr>
        <w:t xml:space="preserve">sind nähere Bestimmungen über </w:t>
      </w:r>
      <w:r w:rsidR="003D3BC6" w:rsidRPr="00A459A1">
        <w:rPr>
          <w:sz w:val="24"/>
          <w:szCs w:val="24"/>
        </w:rPr>
        <w:t xml:space="preserve">eine </w:t>
      </w:r>
      <w:r w:rsidR="002021DF" w:rsidRPr="00A459A1">
        <w:rPr>
          <w:sz w:val="24"/>
          <w:szCs w:val="24"/>
        </w:rPr>
        <w:t>allenfalls vorgeschriebene schriftliche Arbeit festzulegen</w:t>
      </w:r>
      <w:r w:rsidR="003D3BC6" w:rsidRPr="00A459A1">
        <w:rPr>
          <w:sz w:val="24"/>
          <w:szCs w:val="24"/>
        </w:rPr>
        <w:t xml:space="preserve"> (vgl. § 49 Abs. 1 Z 9 Satzungsteil „Studienrechtliche Bestimmungen).</w:t>
      </w:r>
    </w:p>
    <w:p w14:paraId="670E3510" w14:textId="3614894A" w:rsidR="00FE2600" w:rsidRPr="00A459A1" w:rsidRDefault="00FE2600" w:rsidP="00DC6055">
      <w:pPr>
        <w:pStyle w:val="Listenabsatz"/>
        <w:numPr>
          <w:ilvl w:val="2"/>
          <w:numId w:val="20"/>
        </w:numPr>
        <w:spacing w:after="120" w:line="276" w:lineRule="auto"/>
        <w:contextualSpacing w:val="0"/>
        <w:jc w:val="both"/>
        <w:rPr>
          <w:sz w:val="24"/>
          <w:szCs w:val="24"/>
        </w:rPr>
      </w:pPr>
      <w:r w:rsidRPr="00A459A1">
        <w:rPr>
          <w:sz w:val="24"/>
          <w:szCs w:val="24"/>
        </w:rPr>
        <w:t>Wenn ein Universitätslehrgang mindestens 60 ECTS-Anrechnungspunkte umfasst, darf gemäß § 87a Abs. 1 die akademische Bezeichnung „Akademische ...“ bzw. „Akademischer ...“ mit einem die Inhalte des jeweiligen Universitätslehrganges charakterisierenden Zusatz festgelegt werden, die den Absolventinnen und Absolventen zu verleihen ist.</w:t>
      </w:r>
    </w:p>
    <w:p w14:paraId="26BF6E4A" w14:textId="0C1FC7F9" w:rsidR="0058459C" w:rsidRPr="00A459A1" w:rsidRDefault="0058459C" w:rsidP="00DC6055">
      <w:pPr>
        <w:pStyle w:val="Listenabsatz"/>
        <w:numPr>
          <w:ilvl w:val="2"/>
          <w:numId w:val="20"/>
        </w:numPr>
        <w:spacing w:after="120" w:line="276" w:lineRule="auto"/>
        <w:contextualSpacing w:val="0"/>
        <w:jc w:val="both"/>
        <w:rPr>
          <w:sz w:val="24"/>
          <w:szCs w:val="24"/>
        </w:rPr>
      </w:pPr>
      <w:r w:rsidRPr="00A459A1">
        <w:rPr>
          <w:sz w:val="24"/>
          <w:szCs w:val="24"/>
        </w:rPr>
        <w:t>Über den Abschluss des Universitäts</w:t>
      </w:r>
      <w:r w:rsidR="00CB4161" w:rsidRPr="00A459A1">
        <w:rPr>
          <w:sz w:val="24"/>
          <w:szCs w:val="24"/>
        </w:rPr>
        <w:t>studiengangs</w:t>
      </w:r>
      <w:r w:rsidRPr="00A459A1">
        <w:rPr>
          <w:sz w:val="24"/>
          <w:szCs w:val="24"/>
        </w:rPr>
        <w:t xml:space="preserve"> ist ein </w:t>
      </w:r>
      <w:r w:rsidR="002F6243" w:rsidRPr="00A459A1">
        <w:rPr>
          <w:sz w:val="24"/>
          <w:szCs w:val="24"/>
        </w:rPr>
        <w:t>Zeugnis</w:t>
      </w:r>
      <w:r w:rsidR="002021DF" w:rsidRPr="00A459A1">
        <w:rPr>
          <w:sz w:val="24"/>
          <w:szCs w:val="24"/>
        </w:rPr>
        <w:t xml:space="preserve"> </w:t>
      </w:r>
      <w:r w:rsidRPr="00A459A1">
        <w:rPr>
          <w:sz w:val="24"/>
          <w:szCs w:val="24"/>
        </w:rPr>
        <w:t>auszustellen.</w:t>
      </w:r>
    </w:p>
    <w:p w14:paraId="095362C5" w14:textId="3BB3016E" w:rsidR="003B46C4" w:rsidRDefault="0058459C" w:rsidP="00DC6055">
      <w:pPr>
        <w:pStyle w:val="berschrift2"/>
        <w:jc w:val="both"/>
      </w:pPr>
      <w:bookmarkStart w:id="2" w:name="_Hlk164849753"/>
      <w:r w:rsidRPr="00325E5D">
        <w:t>Universitäts</w:t>
      </w:r>
      <w:r w:rsidR="009248E3" w:rsidRPr="00325E5D">
        <w:t>kurs</w:t>
      </w:r>
      <w:r w:rsidRPr="00325E5D">
        <w:t xml:space="preserve"> </w:t>
      </w:r>
      <w:bookmarkEnd w:id="2"/>
    </w:p>
    <w:p w14:paraId="286ABEC3" w14:textId="5470EBB6" w:rsidR="002021DF" w:rsidRPr="009D4D5A" w:rsidRDefault="002021DF" w:rsidP="00DC6055">
      <w:pPr>
        <w:pStyle w:val="Listenabsatz"/>
        <w:numPr>
          <w:ilvl w:val="2"/>
          <w:numId w:val="21"/>
        </w:numPr>
        <w:spacing w:after="120" w:line="276" w:lineRule="auto"/>
        <w:jc w:val="both"/>
        <w:rPr>
          <w:sz w:val="24"/>
          <w:szCs w:val="24"/>
        </w:rPr>
      </w:pPr>
      <w:r w:rsidRPr="009D4D5A">
        <w:rPr>
          <w:sz w:val="24"/>
          <w:szCs w:val="24"/>
        </w:rPr>
        <w:t>Zulassungsbedingungen</w:t>
      </w:r>
      <w:r w:rsidR="007E7EB5" w:rsidRPr="009D4D5A">
        <w:rPr>
          <w:sz w:val="24"/>
          <w:szCs w:val="24"/>
        </w:rPr>
        <w:t xml:space="preserve"> sind gesetzlich nicht vorgegeben. Folgende Zulassungsbedingungen wären wünschenswert</w:t>
      </w:r>
      <w:r w:rsidRPr="009D4D5A">
        <w:rPr>
          <w:sz w:val="24"/>
          <w:szCs w:val="24"/>
        </w:rPr>
        <w:t>:</w:t>
      </w:r>
    </w:p>
    <w:p w14:paraId="04595D90" w14:textId="22FF6D89" w:rsidR="003D3BC6" w:rsidRPr="00325E5D" w:rsidRDefault="002021DF" w:rsidP="00DC6055">
      <w:pPr>
        <w:pStyle w:val="Listenabsatz"/>
        <w:numPr>
          <w:ilvl w:val="0"/>
          <w:numId w:val="12"/>
        </w:numPr>
        <w:spacing w:after="120" w:line="276" w:lineRule="auto"/>
        <w:jc w:val="both"/>
        <w:rPr>
          <w:sz w:val="24"/>
          <w:szCs w:val="24"/>
        </w:rPr>
      </w:pPr>
      <w:r w:rsidRPr="00325E5D">
        <w:rPr>
          <w:sz w:val="24"/>
          <w:szCs w:val="24"/>
        </w:rPr>
        <w:t>Abgeschlossenes österreichisches oder gleichwertiges ausländisches Hochschulstudium (mindestens Bachelorniveau mit mindestens 180 ECTS-AP) oder</w:t>
      </w:r>
    </w:p>
    <w:p w14:paraId="0F8914C6" w14:textId="1F5F0BE5" w:rsidR="003D3BC6" w:rsidRPr="00325E5D" w:rsidRDefault="002021DF" w:rsidP="00DC6055">
      <w:pPr>
        <w:pStyle w:val="Listenabsatz"/>
        <w:numPr>
          <w:ilvl w:val="0"/>
          <w:numId w:val="12"/>
        </w:numPr>
        <w:spacing w:after="120" w:line="276" w:lineRule="auto"/>
        <w:jc w:val="both"/>
        <w:rPr>
          <w:sz w:val="24"/>
          <w:szCs w:val="24"/>
        </w:rPr>
      </w:pPr>
      <w:r w:rsidRPr="00325E5D">
        <w:rPr>
          <w:sz w:val="24"/>
          <w:szCs w:val="24"/>
        </w:rPr>
        <w:t>allgemeine Universitätsreife ode</w:t>
      </w:r>
      <w:r w:rsidR="003D3BC6" w:rsidRPr="00325E5D">
        <w:rPr>
          <w:sz w:val="24"/>
          <w:szCs w:val="24"/>
        </w:rPr>
        <w:t>r</w:t>
      </w:r>
    </w:p>
    <w:p w14:paraId="26B641E5" w14:textId="4625489A" w:rsidR="003D3BC6" w:rsidRPr="00325E5D" w:rsidRDefault="002021DF" w:rsidP="00DC6055">
      <w:pPr>
        <w:pStyle w:val="Listenabsatz"/>
        <w:numPr>
          <w:ilvl w:val="0"/>
          <w:numId w:val="12"/>
        </w:numPr>
        <w:spacing w:after="120" w:line="276" w:lineRule="auto"/>
        <w:jc w:val="both"/>
        <w:rPr>
          <w:sz w:val="24"/>
          <w:szCs w:val="24"/>
        </w:rPr>
      </w:pPr>
      <w:r w:rsidRPr="00325E5D">
        <w:rPr>
          <w:sz w:val="24"/>
          <w:szCs w:val="24"/>
        </w:rPr>
        <w:t xml:space="preserve">bei fehlender Universitätsreife mindestens </w:t>
      </w:r>
      <w:r w:rsidR="002F6243">
        <w:rPr>
          <w:sz w:val="24"/>
          <w:szCs w:val="24"/>
        </w:rPr>
        <w:t>zwei</w:t>
      </w:r>
      <w:r w:rsidRPr="00325E5D">
        <w:rPr>
          <w:sz w:val="24"/>
          <w:szCs w:val="24"/>
        </w:rPr>
        <w:t xml:space="preserve"> Jahre einschlägige Berufserfahrung (Aus- und Weiterbildungszeiten können eingerechnet werden) sowie</w:t>
      </w:r>
    </w:p>
    <w:p w14:paraId="06E94018" w14:textId="1C5822C4" w:rsidR="002021DF" w:rsidRDefault="002021DF" w:rsidP="00DC6055">
      <w:pPr>
        <w:pStyle w:val="Listenabsatz"/>
        <w:numPr>
          <w:ilvl w:val="0"/>
          <w:numId w:val="12"/>
        </w:numPr>
        <w:spacing w:after="120" w:line="276" w:lineRule="auto"/>
        <w:contextualSpacing w:val="0"/>
        <w:jc w:val="both"/>
        <w:rPr>
          <w:sz w:val="24"/>
          <w:szCs w:val="24"/>
        </w:rPr>
      </w:pPr>
      <w:r w:rsidRPr="00325E5D">
        <w:rPr>
          <w:sz w:val="24"/>
          <w:szCs w:val="24"/>
        </w:rPr>
        <w:t>positiver Abschluss des Auswahlverfahrens der Universität Innsbruck</w:t>
      </w:r>
    </w:p>
    <w:p w14:paraId="46D67694" w14:textId="653FBB05" w:rsidR="003B46C4" w:rsidRPr="009D4D5A" w:rsidRDefault="003B46C4" w:rsidP="00DC6055">
      <w:pPr>
        <w:pStyle w:val="Listenabsatz"/>
        <w:numPr>
          <w:ilvl w:val="2"/>
          <w:numId w:val="21"/>
        </w:numPr>
        <w:spacing w:after="120" w:line="276" w:lineRule="auto"/>
        <w:contextualSpacing w:val="0"/>
        <w:jc w:val="both"/>
        <w:rPr>
          <w:sz w:val="24"/>
          <w:szCs w:val="24"/>
        </w:rPr>
      </w:pPr>
      <w:r w:rsidRPr="009D4D5A">
        <w:rPr>
          <w:sz w:val="24"/>
          <w:szCs w:val="24"/>
        </w:rPr>
        <w:t>Umfang</w:t>
      </w:r>
      <w:r w:rsidR="004417A3" w:rsidRPr="009D4D5A">
        <w:rPr>
          <w:sz w:val="24"/>
          <w:szCs w:val="24"/>
        </w:rPr>
        <w:t>: 5</w:t>
      </w:r>
      <w:r w:rsidRPr="009D4D5A">
        <w:rPr>
          <w:sz w:val="24"/>
          <w:szCs w:val="24"/>
        </w:rPr>
        <w:t xml:space="preserve"> bis 15 ECTS-AP</w:t>
      </w:r>
      <w:r w:rsidR="007E7EB5" w:rsidRPr="009D4D5A">
        <w:rPr>
          <w:sz w:val="24"/>
          <w:szCs w:val="24"/>
        </w:rPr>
        <w:t xml:space="preserve"> (in Ausnahmefällen auch darunter)</w:t>
      </w:r>
    </w:p>
    <w:p w14:paraId="35A578F9" w14:textId="5714D3DB" w:rsidR="0058459C" w:rsidRPr="009D4D5A" w:rsidRDefault="0058459C" w:rsidP="00DC6055">
      <w:pPr>
        <w:pStyle w:val="Listenabsatz"/>
        <w:numPr>
          <w:ilvl w:val="2"/>
          <w:numId w:val="21"/>
        </w:numPr>
        <w:spacing w:after="120" w:line="276" w:lineRule="auto"/>
        <w:contextualSpacing w:val="0"/>
        <w:jc w:val="both"/>
        <w:rPr>
          <w:sz w:val="24"/>
          <w:szCs w:val="24"/>
        </w:rPr>
      </w:pPr>
      <w:r w:rsidRPr="009D4D5A">
        <w:rPr>
          <w:sz w:val="24"/>
          <w:szCs w:val="24"/>
        </w:rPr>
        <w:lastRenderedPageBreak/>
        <w:t xml:space="preserve">Im Curriculum sind nähere Bestimmungen über eine allenfalls vorgeschriebene schriftliche </w:t>
      </w:r>
      <w:r w:rsidR="00A14C02" w:rsidRPr="009D4D5A">
        <w:rPr>
          <w:sz w:val="24"/>
          <w:szCs w:val="24"/>
        </w:rPr>
        <w:t>A</w:t>
      </w:r>
      <w:r w:rsidRPr="009D4D5A">
        <w:rPr>
          <w:sz w:val="24"/>
          <w:szCs w:val="24"/>
        </w:rPr>
        <w:t>rbeit festzulegen (vgl. § 4</w:t>
      </w:r>
      <w:r w:rsidR="002021DF" w:rsidRPr="009D4D5A">
        <w:rPr>
          <w:sz w:val="24"/>
          <w:szCs w:val="24"/>
        </w:rPr>
        <w:t>9</w:t>
      </w:r>
      <w:r w:rsidRPr="009D4D5A">
        <w:rPr>
          <w:sz w:val="24"/>
          <w:szCs w:val="24"/>
        </w:rPr>
        <w:t xml:space="preserve"> Abs. </w:t>
      </w:r>
      <w:r w:rsidR="002021DF" w:rsidRPr="009D4D5A">
        <w:rPr>
          <w:sz w:val="24"/>
          <w:szCs w:val="24"/>
        </w:rPr>
        <w:t>2</w:t>
      </w:r>
      <w:r w:rsidRPr="009D4D5A">
        <w:rPr>
          <w:sz w:val="24"/>
          <w:szCs w:val="24"/>
        </w:rPr>
        <w:t xml:space="preserve"> Z 9 </w:t>
      </w:r>
      <w:bookmarkStart w:id="3" w:name="_Hlk165283583"/>
      <w:r w:rsidRPr="009D4D5A">
        <w:rPr>
          <w:sz w:val="24"/>
          <w:szCs w:val="24"/>
        </w:rPr>
        <w:t>Satzungsteil „Studienrechtliche Bestimmungen“</w:t>
      </w:r>
      <w:bookmarkEnd w:id="3"/>
      <w:r w:rsidRPr="009D4D5A">
        <w:rPr>
          <w:sz w:val="24"/>
          <w:szCs w:val="24"/>
        </w:rPr>
        <w:t>).</w:t>
      </w:r>
    </w:p>
    <w:p w14:paraId="281EC7FE" w14:textId="51186BFB" w:rsidR="0058459C" w:rsidRPr="009D4D5A" w:rsidRDefault="0058459C" w:rsidP="00DC6055">
      <w:pPr>
        <w:pStyle w:val="Listenabsatz"/>
        <w:numPr>
          <w:ilvl w:val="2"/>
          <w:numId w:val="21"/>
        </w:numPr>
        <w:spacing w:after="120" w:line="276" w:lineRule="auto"/>
        <w:contextualSpacing w:val="0"/>
        <w:jc w:val="both"/>
        <w:rPr>
          <w:sz w:val="24"/>
          <w:szCs w:val="24"/>
        </w:rPr>
      </w:pPr>
      <w:r w:rsidRPr="009D4D5A">
        <w:rPr>
          <w:sz w:val="24"/>
          <w:szCs w:val="24"/>
        </w:rPr>
        <w:t>Über den Abschluss eines Universitätskurse</w:t>
      </w:r>
      <w:r w:rsidR="004417A3" w:rsidRPr="009D4D5A">
        <w:rPr>
          <w:sz w:val="24"/>
          <w:szCs w:val="24"/>
        </w:rPr>
        <w:t>s</w:t>
      </w:r>
      <w:r w:rsidRPr="009D4D5A">
        <w:rPr>
          <w:sz w:val="24"/>
          <w:szCs w:val="24"/>
        </w:rPr>
        <w:t xml:space="preserve"> </w:t>
      </w:r>
      <w:r w:rsidR="003D3BC6" w:rsidRPr="009D4D5A">
        <w:rPr>
          <w:sz w:val="24"/>
          <w:szCs w:val="24"/>
        </w:rPr>
        <w:t>wird ein Zeugnis ausgestellt.</w:t>
      </w:r>
    </w:p>
    <w:p w14:paraId="559F9D47" w14:textId="6AE6FDC7" w:rsidR="003D3BC6" w:rsidRPr="007105DD" w:rsidRDefault="00E9463E" w:rsidP="00DC6055">
      <w:pPr>
        <w:pStyle w:val="berschrift1"/>
        <w:jc w:val="both"/>
      </w:pPr>
      <w:r w:rsidRPr="007105DD">
        <w:t>Die Mitteilung über die</w:t>
      </w:r>
      <w:r w:rsidR="003D3BC6" w:rsidRPr="007105DD">
        <w:t xml:space="preserve"> Einrichtung eines Universitätslehrgangs ist </w:t>
      </w:r>
      <w:r w:rsidRPr="007105DD">
        <w:t xml:space="preserve">beim Senat und </w:t>
      </w:r>
      <w:r w:rsidR="003D3BC6" w:rsidRPr="007105DD">
        <w:t>bei der Koordinationsstelle für universitäre Weiterbildung einzubringen.</w:t>
      </w:r>
      <w:r w:rsidR="004417A3" w:rsidRPr="007105DD">
        <w:t xml:space="preserve"> Weitere Informationen zur Einrichtung bzw. zur Erlassung eines Curriculums siehe §§ 47 ff Satzungsteil „Studienrechtliche Bestimmungen“</w:t>
      </w:r>
    </w:p>
    <w:p w14:paraId="56101C26" w14:textId="3A2F3FFF" w:rsidR="002F6243" w:rsidRPr="007105DD" w:rsidRDefault="003D3BC6" w:rsidP="00DC6055">
      <w:pPr>
        <w:pStyle w:val="berschrift1"/>
        <w:jc w:val="both"/>
      </w:pPr>
      <w:r w:rsidRPr="007105DD">
        <w:t>Q</w:t>
      </w:r>
      <w:r w:rsidR="0058459C" w:rsidRPr="007105DD">
        <w:t xml:space="preserve">ualifikation der </w:t>
      </w:r>
      <w:r w:rsidR="00CB4161" w:rsidRPr="007105DD">
        <w:t xml:space="preserve">wiss. Leitung und der </w:t>
      </w:r>
      <w:r w:rsidR="0058459C" w:rsidRPr="007105DD">
        <w:t>Lehrenden</w:t>
      </w:r>
      <w:r w:rsidR="008429BA" w:rsidRPr="007105DD">
        <w:t xml:space="preserve"> </w:t>
      </w:r>
    </w:p>
    <w:p w14:paraId="5C31E1FC" w14:textId="72EE5782" w:rsidR="002F6243" w:rsidRPr="007105DD" w:rsidRDefault="0058459C" w:rsidP="00DC6055">
      <w:pPr>
        <w:pStyle w:val="Listenabsatz"/>
        <w:numPr>
          <w:ilvl w:val="2"/>
          <w:numId w:val="22"/>
        </w:numPr>
        <w:spacing w:after="120" w:line="276" w:lineRule="auto"/>
        <w:contextualSpacing w:val="0"/>
        <w:jc w:val="both"/>
        <w:rPr>
          <w:sz w:val="24"/>
          <w:szCs w:val="24"/>
        </w:rPr>
      </w:pPr>
      <w:r w:rsidRPr="00325E5D">
        <w:rPr>
          <w:sz w:val="24"/>
          <w:szCs w:val="24"/>
        </w:rPr>
        <w:t>Die Lehrgangsleiterin oder der Lehrgangsleiter müssen habilitiert sein oder über eine der Habilitation gleichwertige Qualifikation verfügen.</w:t>
      </w:r>
      <w:r w:rsidR="00346A50" w:rsidRPr="00325E5D">
        <w:rPr>
          <w:sz w:val="24"/>
          <w:szCs w:val="24"/>
        </w:rPr>
        <w:t xml:space="preserve"> In Ausnahmefälle</w:t>
      </w:r>
      <w:r w:rsidR="003D3BC6" w:rsidRPr="00325E5D">
        <w:rPr>
          <w:sz w:val="24"/>
          <w:szCs w:val="24"/>
        </w:rPr>
        <w:t>n kann von einer Habilitation abgesehen werden.</w:t>
      </w:r>
    </w:p>
    <w:p w14:paraId="18F30D06" w14:textId="08492770" w:rsidR="002F6243" w:rsidRPr="007105DD" w:rsidRDefault="003B3A93" w:rsidP="00DC6055">
      <w:pPr>
        <w:pStyle w:val="Listenabsatz"/>
        <w:numPr>
          <w:ilvl w:val="2"/>
          <w:numId w:val="22"/>
        </w:numPr>
        <w:spacing w:after="120" w:line="276" w:lineRule="auto"/>
        <w:contextualSpacing w:val="0"/>
        <w:jc w:val="both"/>
        <w:rPr>
          <w:sz w:val="24"/>
          <w:szCs w:val="24"/>
        </w:rPr>
      </w:pPr>
      <w:r w:rsidRPr="006426D5">
        <w:rPr>
          <w:sz w:val="24"/>
          <w:szCs w:val="24"/>
        </w:rPr>
        <w:t>Bei ao. Bachelor- und Masterstudien</w:t>
      </w:r>
      <w:r>
        <w:rPr>
          <w:sz w:val="24"/>
          <w:szCs w:val="24"/>
        </w:rPr>
        <w:t xml:space="preserve"> sollten m</w:t>
      </w:r>
      <w:r w:rsidR="0058459C" w:rsidRPr="00325E5D">
        <w:rPr>
          <w:sz w:val="24"/>
          <w:szCs w:val="24"/>
        </w:rPr>
        <w:t xml:space="preserve">indestens 50 % der Lehrenden </w:t>
      </w:r>
      <w:r w:rsidR="00CB4161" w:rsidRPr="00325E5D">
        <w:rPr>
          <w:sz w:val="24"/>
          <w:szCs w:val="24"/>
        </w:rPr>
        <w:t>an einer Universität</w:t>
      </w:r>
      <w:r w:rsidR="0058459C" w:rsidRPr="00325E5D">
        <w:rPr>
          <w:sz w:val="24"/>
          <w:szCs w:val="24"/>
        </w:rPr>
        <w:t xml:space="preserve"> oder eine</w:t>
      </w:r>
      <w:r w:rsidR="00CB4161" w:rsidRPr="00325E5D">
        <w:rPr>
          <w:sz w:val="24"/>
          <w:szCs w:val="24"/>
        </w:rPr>
        <w:t>r</w:t>
      </w:r>
      <w:r w:rsidR="0058459C" w:rsidRPr="00325E5D">
        <w:rPr>
          <w:sz w:val="24"/>
          <w:szCs w:val="24"/>
        </w:rPr>
        <w:t xml:space="preserve"> gleichwertige</w:t>
      </w:r>
      <w:r w:rsidR="00CB4161" w:rsidRPr="00325E5D">
        <w:rPr>
          <w:sz w:val="24"/>
          <w:szCs w:val="24"/>
        </w:rPr>
        <w:t>n Institution wissenschaftlich tätig</w:t>
      </w:r>
      <w:r w:rsidR="0058459C" w:rsidRPr="00325E5D">
        <w:rPr>
          <w:sz w:val="24"/>
          <w:szCs w:val="24"/>
        </w:rPr>
        <w:t xml:space="preserve"> </w:t>
      </w:r>
      <w:r w:rsidR="00CB4161" w:rsidRPr="00325E5D">
        <w:rPr>
          <w:sz w:val="24"/>
          <w:szCs w:val="24"/>
        </w:rPr>
        <w:t>sein</w:t>
      </w:r>
      <w:r w:rsidR="0058459C" w:rsidRPr="00325E5D">
        <w:rPr>
          <w:sz w:val="24"/>
          <w:szCs w:val="24"/>
        </w:rPr>
        <w:t>.</w:t>
      </w:r>
    </w:p>
    <w:p w14:paraId="70CF6F87" w14:textId="6265321E" w:rsidR="002F6243" w:rsidRPr="007105DD" w:rsidRDefault="0058459C" w:rsidP="00DC6055">
      <w:pPr>
        <w:pStyle w:val="Listenabsatz"/>
        <w:numPr>
          <w:ilvl w:val="2"/>
          <w:numId w:val="22"/>
        </w:numPr>
        <w:spacing w:after="120" w:line="276" w:lineRule="auto"/>
        <w:contextualSpacing w:val="0"/>
        <w:jc w:val="both"/>
        <w:rPr>
          <w:sz w:val="24"/>
          <w:szCs w:val="24"/>
        </w:rPr>
      </w:pPr>
      <w:r w:rsidRPr="00325E5D">
        <w:rPr>
          <w:sz w:val="24"/>
          <w:szCs w:val="24"/>
        </w:rPr>
        <w:t>Personen die mit wissenschaftlicher Lehre betraut werden, müssen jedenfalls über ein abgeschlossenes Master- bzw. Diplomstudium oder eine gleichwertige</w:t>
      </w:r>
      <w:r w:rsidR="002F6243">
        <w:rPr>
          <w:sz w:val="24"/>
          <w:szCs w:val="24"/>
        </w:rPr>
        <w:t xml:space="preserve"> Qualifikation</w:t>
      </w:r>
      <w:r w:rsidRPr="00325E5D">
        <w:rPr>
          <w:sz w:val="24"/>
          <w:szCs w:val="24"/>
        </w:rPr>
        <w:t xml:space="preserve"> verfügen.</w:t>
      </w:r>
    </w:p>
    <w:p w14:paraId="6D967A63" w14:textId="28F426EA" w:rsidR="002F6243" w:rsidRPr="007105DD" w:rsidRDefault="0058459C" w:rsidP="00DC6055">
      <w:pPr>
        <w:pStyle w:val="Listenabsatz"/>
        <w:numPr>
          <w:ilvl w:val="2"/>
          <w:numId w:val="22"/>
        </w:numPr>
        <w:spacing w:after="120" w:line="276" w:lineRule="auto"/>
        <w:contextualSpacing w:val="0"/>
        <w:jc w:val="both"/>
        <w:rPr>
          <w:sz w:val="24"/>
          <w:szCs w:val="24"/>
        </w:rPr>
      </w:pPr>
      <w:r w:rsidRPr="00325E5D">
        <w:rPr>
          <w:sz w:val="24"/>
          <w:szCs w:val="24"/>
        </w:rPr>
        <w:t xml:space="preserve">Universitätslehrgänge zeichnen sich durch Praxisbezug aus. Neben </w:t>
      </w:r>
      <w:r w:rsidR="00681341" w:rsidRPr="00325E5D">
        <w:rPr>
          <w:sz w:val="24"/>
          <w:szCs w:val="24"/>
        </w:rPr>
        <w:t>Wissenschaftlerinnen</w:t>
      </w:r>
      <w:r w:rsidRPr="00325E5D">
        <w:rPr>
          <w:sz w:val="24"/>
          <w:szCs w:val="24"/>
        </w:rPr>
        <w:t xml:space="preserve"> und </w:t>
      </w:r>
      <w:r w:rsidR="00681341" w:rsidRPr="00325E5D">
        <w:rPr>
          <w:sz w:val="24"/>
          <w:szCs w:val="24"/>
        </w:rPr>
        <w:t>Wissenschaftlern</w:t>
      </w:r>
      <w:r w:rsidRPr="00325E5D">
        <w:rPr>
          <w:sz w:val="24"/>
          <w:szCs w:val="24"/>
        </w:rPr>
        <w:t xml:space="preserve"> sind daher auch Praktikerinnen und Praktiker als Lehrende heranzuziehen</w:t>
      </w:r>
      <w:r w:rsidR="003D3BC6" w:rsidRPr="00325E5D">
        <w:rPr>
          <w:sz w:val="24"/>
          <w:szCs w:val="24"/>
        </w:rPr>
        <w:t>.</w:t>
      </w:r>
    </w:p>
    <w:p w14:paraId="201699F6" w14:textId="238ACB4B" w:rsidR="002F6243" w:rsidRPr="007105DD" w:rsidRDefault="0058459C" w:rsidP="00DC6055">
      <w:pPr>
        <w:pStyle w:val="Listenabsatz"/>
        <w:numPr>
          <w:ilvl w:val="2"/>
          <w:numId w:val="22"/>
        </w:numPr>
        <w:spacing w:after="120" w:line="276" w:lineRule="auto"/>
        <w:contextualSpacing w:val="0"/>
        <w:jc w:val="both"/>
        <w:rPr>
          <w:sz w:val="24"/>
          <w:szCs w:val="24"/>
        </w:rPr>
      </w:pPr>
      <w:r w:rsidRPr="00325E5D">
        <w:rPr>
          <w:sz w:val="24"/>
          <w:szCs w:val="24"/>
        </w:rPr>
        <w:t>Die Bestellung von wissenschaftlichen Mitarbeiterinnen oder Mitarbeitern der Universität Innsbruck zu Lehrenden in Universitätslehrgängen bedarf der Zustimmung der Dekanin oder des Dekans bzw. der Studiendekanin oder des Studiendekans, um sicherzustellen, dass die Regellehre nicht beeinträchtigt ist.</w:t>
      </w:r>
    </w:p>
    <w:p w14:paraId="466AC14A" w14:textId="5E51E285" w:rsidR="0058459C" w:rsidRDefault="0058459C" w:rsidP="00DC6055">
      <w:pPr>
        <w:pStyle w:val="Listenabsatz"/>
        <w:numPr>
          <w:ilvl w:val="2"/>
          <w:numId w:val="22"/>
        </w:numPr>
        <w:spacing w:after="120" w:line="276" w:lineRule="auto"/>
        <w:contextualSpacing w:val="0"/>
        <w:jc w:val="both"/>
        <w:rPr>
          <w:sz w:val="24"/>
          <w:szCs w:val="24"/>
        </w:rPr>
      </w:pPr>
      <w:r w:rsidRPr="00325E5D">
        <w:rPr>
          <w:sz w:val="24"/>
          <w:szCs w:val="24"/>
        </w:rPr>
        <w:t>Die Bestellung der Lehrenden erfolgt auf Vorschlag der Lehrgangsleiterin oder des Lehrgangsleiters durch das Rektorat.</w:t>
      </w:r>
    </w:p>
    <w:p w14:paraId="08860243" w14:textId="0DD108A0" w:rsidR="0058459C" w:rsidRDefault="0058459C" w:rsidP="00DC6055">
      <w:pPr>
        <w:pStyle w:val="berschrift1"/>
        <w:jc w:val="both"/>
      </w:pPr>
      <w:r w:rsidRPr="00325E5D">
        <w:t>Evaluierung</w:t>
      </w:r>
    </w:p>
    <w:p w14:paraId="250364FA" w14:textId="22AC3C01" w:rsidR="002F6243" w:rsidRPr="007105DD" w:rsidRDefault="0058459C" w:rsidP="00DC6055">
      <w:pPr>
        <w:pStyle w:val="Listenabsatz"/>
        <w:numPr>
          <w:ilvl w:val="2"/>
          <w:numId w:val="23"/>
        </w:numPr>
        <w:spacing w:after="120" w:line="276" w:lineRule="auto"/>
        <w:contextualSpacing w:val="0"/>
        <w:jc w:val="both"/>
        <w:rPr>
          <w:sz w:val="24"/>
          <w:szCs w:val="24"/>
        </w:rPr>
      </w:pPr>
      <w:r w:rsidRPr="00325E5D">
        <w:rPr>
          <w:sz w:val="24"/>
          <w:szCs w:val="24"/>
        </w:rPr>
        <w:lastRenderedPageBreak/>
        <w:t>Auf die Evaluierung von Universitätslehrgängen sind die Bestimmungen für ordentliche Studien sinngemäß anzuwenden.</w:t>
      </w:r>
    </w:p>
    <w:p w14:paraId="1B06CA47" w14:textId="68C7AC69" w:rsidR="002F6243" w:rsidRPr="007105DD" w:rsidRDefault="003B3A93" w:rsidP="00DC6055">
      <w:pPr>
        <w:pStyle w:val="Listenabsatz"/>
        <w:numPr>
          <w:ilvl w:val="2"/>
          <w:numId w:val="23"/>
        </w:numPr>
        <w:spacing w:after="120" w:line="276" w:lineRule="auto"/>
        <w:contextualSpacing w:val="0"/>
        <w:jc w:val="both"/>
        <w:rPr>
          <w:sz w:val="24"/>
          <w:szCs w:val="24"/>
        </w:rPr>
      </w:pPr>
      <w:r>
        <w:rPr>
          <w:sz w:val="24"/>
          <w:szCs w:val="24"/>
        </w:rPr>
        <w:t xml:space="preserve">Eine </w:t>
      </w:r>
      <w:r w:rsidR="00346A50" w:rsidRPr="00325E5D">
        <w:rPr>
          <w:sz w:val="24"/>
          <w:szCs w:val="24"/>
        </w:rPr>
        <w:t>Abschlussevaluierung wird jedenfalls durchgeführt.</w:t>
      </w:r>
    </w:p>
    <w:p w14:paraId="3E631931" w14:textId="125F5E21" w:rsidR="0058459C" w:rsidRDefault="0058459C" w:rsidP="00DC6055">
      <w:pPr>
        <w:pStyle w:val="berschrift1"/>
        <w:jc w:val="both"/>
      </w:pPr>
      <w:r w:rsidRPr="00325E5D">
        <w:t>Inkrafttreten</w:t>
      </w:r>
    </w:p>
    <w:p w14:paraId="7B9BAF2A" w14:textId="0D3A0197" w:rsidR="002F6243" w:rsidRPr="0081772D" w:rsidRDefault="0081772D" w:rsidP="0081772D">
      <w:pPr>
        <w:pStyle w:val="Listenabsatz"/>
        <w:numPr>
          <w:ilvl w:val="2"/>
          <w:numId w:val="24"/>
        </w:numPr>
        <w:spacing w:after="120" w:line="276" w:lineRule="auto"/>
        <w:contextualSpacing w:val="0"/>
        <w:jc w:val="both"/>
        <w:rPr>
          <w:sz w:val="24"/>
          <w:szCs w:val="24"/>
        </w:rPr>
      </w:pPr>
      <w:r w:rsidRPr="0081772D">
        <w:rPr>
          <w:sz w:val="24"/>
          <w:szCs w:val="24"/>
        </w:rPr>
        <w:t>Diese Handreichung ist ab 01.10.2024 anzuwenden und ersetzt die bisherige Richtlinie für Universitätslehrgänge an der Universität Innsbruck</w:t>
      </w:r>
      <w:r>
        <w:rPr>
          <w:sz w:val="24"/>
          <w:szCs w:val="24"/>
        </w:rPr>
        <w:t xml:space="preserve"> </w:t>
      </w:r>
      <w:r w:rsidRPr="0081772D">
        <w:rPr>
          <w:sz w:val="24"/>
          <w:szCs w:val="24"/>
        </w:rPr>
        <w:t>(Beschluss des Senats vom 24. 11. 2016; Beschluss des Rektorats vom 23. 11. 2016)</w:t>
      </w:r>
      <w:r>
        <w:rPr>
          <w:sz w:val="24"/>
          <w:szCs w:val="24"/>
        </w:rPr>
        <w:t>.</w:t>
      </w:r>
    </w:p>
    <w:p w14:paraId="3DDAC106" w14:textId="0719E421" w:rsidR="00CB4161" w:rsidRPr="007105DD" w:rsidRDefault="0058459C" w:rsidP="00DC6055">
      <w:pPr>
        <w:pStyle w:val="Listenabsatz"/>
        <w:numPr>
          <w:ilvl w:val="2"/>
          <w:numId w:val="24"/>
        </w:numPr>
        <w:spacing w:after="120" w:line="276" w:lineRule="auto"/>
        <w:contextualSpacing w:val="0"/>
        <w:jc w:val="both"/>
        <w:rPr>
          <w:sz w:val="24"/>
          <w:szCs w:val="24"/>
        </w:rPr>
      </w:pPr>
      <w:r w:rsidRPr="00325E5D">
        <w:rPr>
          <w:sz w:val="24"/>
          <w:szCs w:val="24"/>
        </w:rPr>
        <w:t>Dies</w:t>
      </w:r>
      <w:r w:rsidR="00A15838" w:rsidRPr="00325E5D">
        <w:rPr>
          <w:sz w:val="24"/>
          <w:szCs w:val="24"/>
        </w:rPr>
        <w:t>e vom</w:t>
      </w:r>
      <w:r w:rsidRPr="00325E5D">
        <w:rPr>
          <w:sz w:val="24"/>
          <w:szCs w:val="24"/>
        </w:rPr>
        <w:t xml:space="preserve"> Rektorat und Senat </w:t>
      </w:r>
      <w:r w:rsidR="00A15838" w:rsidRPr="00325E5D">
        <w:rPr>
          <w:sz w:val="24"/>
          <w:szCs w:val="24"/>
        </w:rPr>
        <w:t>gemeinsam erarbeitete Handreichung dient der</w:t>
      </w:r>
      <w:r w:rsidRPr="00325E5D">
        <w:rPr>
          <w:sz w:val="24"/>
          <w:szCs w:val="24"/>
        </w:rPr>
        <w:t xml:space="preserve"> Gestaltung von Universitätslehrgängen an der Universität Innsbruck.</w:t>
      </w:r>
    </w:p>
    <w:p w14:paraId="0B37EA11" w14:textId="77777777" w:rsidR="00CB4161" w:rsidRPr="00325E5D" w:rsidRDefault="00CB4161" w:rsidP="00DC6055">
      <w:pPr>
        <w:spacing w:after="120" w:line="276" w:lineRule="auto"/>
        <w:jc w:val="both"/>
        <w:rPr>
          <w:sz w:val="24"/>
          <w:szCs w:val="24"/>
        </w:rPr>
      </w:pPr>
    </w:p>
    <w:p w14:paraId="61AF3E73" w14:textId="77777777" w:rsidR="00CB4161" w:rsidRPr="00325E5D" w:rsidRDefault="00CB4161" w:rsidP="00DC6055">
      <w:pPr>
        <w:spacing w:after="120" w:line="276" w:lineRule="auto"/>
        <w:jc w:val="both"/>
        <w:rPr>
          <w:sz w:val="24"/>
          <w:szCs w:val="24"/>
        </w:rPr>
      </w:pPr>
    </w:p>
    <w:p w14:paraId="0EBFE977" w14:textId="77777777" w:rsidR="00D17F59" w:rsidRDefault="00D17F59" w:rsidP="00DC6055">
      <w:pPr>
        <w:spacing w:after="120" w:line="276" w:lineRule="auto"/>
        <w:jc w:val="both"/>
        <w:rPr>
          <w:sz w:val="24"/>
          <w:szCs w:val="24"/>
        </w:rPr>
        <w:sectPr w:rsidR="00D17F59" w:rsidSect="00793651">
          <w:footerReference w:type="default" r:id="rId11"/>
          <w:pgSz w:w="11899" w:h="17338"/>
          <w:pgMar w:top="851" w:right="851" w:bottom="1786" w:left="851" w:header="720" w:footer="720" w:gutter="0"/>
          <w:cols w:space="708"/>
          <w:noEndnote/>
          <w:docGrid w:linePitch="299"/>
        </w:sectPr>
      </w:pPr>
    </w:p>
    <w:p w14:paraId="2B4E23D0" w14:textId="7FF7D443" w:rsidR="007105DD" w:rsidRDefault="0058459C" w:rsidP="00DC6055">
      <w:pPr>
        <w:spacing w:after="120" w:line="276" w:lineRule="auto"/>
        <w:contextualSpacing/>
        <w:jc w:val="center"/>
        <w:rPr>
          <w:sz w:val="24"/>
          <w:szCs w:val="24"/>
        </w:rPr>
      </w:pPr>
      <w:r w:rsidRPr="00325E5D">
        <w:rPr>
          <w:sz w:val="24"/>
          <w:szCs w:val="24"/>
        </w:rPr>
        <w:t>Für das Rektorat:</w:t>
      </w:r>
    </w:p>
    <w:p w14:paraId="7BCD1B09" w14:textId="77777777" w:rsidR="007105DD" w:rsidRDefault="0058459C" w:rsidP="00DC6055">
      <w:pPr>
        <w:spacing w:after="120" w:line="276" w:lineRule="auto"/>
        <w:contextualSpacing/>
        <w:jc w:val="center"/>
        <w:rPr>
          <w:sz w:val="24"/>
          <w:szCs w:val="24"/>
        </w:rPr>
      </w:pPr>
      <w:r w:rsidRPr="00325E5D">
        <w:rPr>
          <w:sz w:val="24"/>
          <w:szCs w:val="24"/>
        </w:rPr>
        <w:t>Univ.-Prof. Dr. Bernhard Fügenschuh</w:t>
      </w:r>
    </w:p>
    <w:p w14:paraId="3170F567" w14:textId="6197004E" w:rsidR="007105DD" w:rsidRDefault="0058459C" w:rsidP="00DC6055">
      <w:pPr>
        <w:spacing w:after="120" w:line="276" w:lineRule="auto"/>
        <w:contextualSpacing/>
        <w:jc w:val="center"/>
        <w:rPr>
          <w:sz w:val="24"/>
          <w:szCs w:val="24"/>
        </w:rPr>
      </w:pPr>
      <w:r w:rsidRPr="00325E5D">
        <w:rPr>
          <w:sz w:val="24"/>
          <w:szCs w:val="24"/>
        </w:rPr>
        <w:t>Vizerektor für Lehre und Studierende</w:t>
      </w:r>
      <w:r w:rsidR="00D17F59">
        <w:rPr>
          <w:sz w:val="24"/>
          <w:szCs w:val="24"/>
        </w:rPr>
        <w:br w:type="column"/>
      </w:r>
      <w:r w:rsidR="007105DD" w:rsidRPr="00325E5D">
        <w:rPr>
          <w:sz w:val="24"/>
          <w:szCs w:val="24"/>
        </w:rPr>
        <w:lastRenderedPageBreak/>
        <w:t>Für den Senat:</w:t>
      </w:r>
    </w:p>
    <w:p w14:paraId="1C823A7E" w14:textId="77777777" w:rsidR="007105DD" w:rsidRDefault="007105DD" w:rsidP="00DC6055">
      <w:pPr>
        <w:spacing w:after="120" w:line="276" w:lineRule="auto"/>
        <w:contextualSpacing/>
        <w:jc w:val="center"/>
        <w:rPr>
          <w:sz w:val="24"/>
          <w:szCs w:val="24"/>
        </w:rPr>
      </w:pPr>
      <w:r w:rsidRPr="00325E5D">
        <w:rPr>
          <w:sz w:val="24"/>
          <w:szCs w:val="24"/>
        </w:rPr>
        <w:t>Univ.-Prof. Dr. Walter Obwexer</w:t>
      </w:r>
    </w:p>
    <w:p w14:paraId="630D8E95" w14:textId="5CD96EF3" w:rsidR="00C71885" w:rsidRPr="00325E5D" w:rsidRDefault="007105DD" w:rsidP="00DC6055">
      <w:pPr>
        <w:spacing w:after="120" w:line="276" w:lineRule="auto"/>
        <w:contextualSpacing/>
        <w:jc w:val="center"/>
        <w:rPr>
          <w:sz w:val="24"/>
          <w:szCs w:val="24"/>
        </w:rPr>
      </w:pPr>
      <w:r w:rsidRPr="00325E5D">
        <w:rPr>
          <w:sz w:val="24"/>
          <w:szCs w:val="24"/>
        </w:rPr>
        <w:t>Vorsitzender des Senats</w:t>
      </w:r>
    </w:p>
    <w:sectPr w:rsidR="00C71885" w:rsidRPr="00325E5D" w:rsidSect="00D17F59">
      <w:type w:val="continuous"/>
      <w:pgSz w:w="11899" w:h="17338"/>
      <w:pgMar w:top="851" w:right="851" w:bottom="1786" w:left="851" w:header="720" w:footer="720" w:gutter="0"/>
      <w:cols w:num="2"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74FF6" w14:textId="77777777" w:rsidR="000C2706" w:rsidRDefault="000C2706" w:rsidP="00A915BC">
      <w:pPr>
        <w:spacing w:after="0" w:line="240" w:lineRule="auto"/>
      </w:pPr>
      <w:r>
        <w:separator/>
      </w:r>
    </w:p>
  </w:endnote>
  <w:endnote w:type="continuationSeparator" w:id="0">
    <w:p w14:paraId="709F9ADA" w14:textId="77777777" w:rsidR="000C2706" w:rsidRDefault="000C2706" w:rsidP="00A91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AA6E" w14:textId="2BF03929" w:rsidR="00D17F59" w:rsidRPr="00D17F59" w:rsidRDefault="00D17F59" w:rsidP="00D17F59">
    <w:pPr>
      <w:tabs>
        <w:tab w:val="right" w:pos="10206"/>
      </w:tabs>
      <w:rPr>
        <w:color w:val="808080" w:themeColor="background1" w:themeShade="80"/>
        <w:sz w:val="16"/>
      </w:rPr>
    </w:pPr>
    <w:r w:rsidRPr="00D17F59">
      <w:rPr>
        <w:color w:val="808080" w:themeColor="background1" w:themeShade="80"/>
        <w:sz w:val="16"/>
      </w:rPr>
      <w:t>Handreichung für Universitätslehrgänge an der Universität Innsbruck</w:t>
    </w:r>
    <w:r>
      <w:rPr>
        <w:color w:val="808080" w:themeColor="background1" w:themeShade="80"/>
        <w:sz w:val="16"/>
      </w:rPr>
      <w:tab/>
      <w:t xml:space="preserve">Seite </w:t>
    </w:r>
    <w:r>
      <w:rPr>
        <w:color w:val="808080" w:themeColor="background1" w:themeShade="80"/>
        <w:sz w:val="16"/>
      </w:rPr>
      <w:fldChar w:fldCharType="begin"/>
    </w:r>
    <w:r>
      <w:rPr>
        <w:color w:val="808080" w:themeColor="background1" w:themeShade="80"/>
        <w:sz w:val="16"/>
      </w:rPr>
      <w:instrText xml:space="preserve"> PAGE   \* MERGEFORMAT </w:instrText>
    </w:r>
    <w:r>
      <w:rPr>
        <w:color w:val="808080" w:themeColor="background1" w:themeShade="80"/>
        <w:sz w:val="16"/>
      </w:rPr>
      <w:fldChar w:fldCharType="separate"/>
    </w:r>
    <w:r w:rsidR="00506218">
      <w:rPr>
        <w:noProof/>
        <w:color w:val="808080" w:themeColor="background1" w:themeShade="80"/>
        <w:sz w:val="16"/>
      </w:rPr>
      <w:t>2</w:t>
    </w:r>
    <w:r>
      <w:rPr>
        <w:color w:val="808080" w:themeColor="background1" w:themeShade="80"/>
        <w:sz w:val="16"/>
      </w:rPr>
      <w:fldChar w:fldCharType="end"/>
    </w:r>
    <w:r>
      <w:rPr>
        <w:color w:val="808080" w:themeColor="background1" w:themeShade="80"/>
        <w:sz w:val="16"/>
      </w:rPr>
      <w:t xml:space="preserve"> von </w:t>
    </w:r>
    <w:r>
      <w:rPr>
        <w:color w:val="808080" w:themeColor="background1" w:themeShade="80"/>
        <w:sz w:val="16"/>
      </w:rPr>
      <w:fldChar w:fldCharType="begin"/>
    </w:r>
    <w:r>
      <w:rPr>
        <w:color w:val="808080" w:themeColor="background1" w:themeShade="80"/>
        <w:sz w:val="16"/>
      </w:rPr>
      <w:instrText xml:space="preserve"> NUMPAGES   \* MERGEFORMAT </w:instrText>
    </w:r>
    <w:r>
      <w:rPr>
        <w:color w:val="808080" w:themeColor="background1" w:themeShade="80"/>
        <w:sz w:val="16"/>
      </w:rPr>
      <w:fldChar w:fldCharType="separate"/>
    </w:r>
    <w:r w:rsidR="00506218">
      <w:rPr>
        <w:noProof/>
        <w:color w:val="808080" w:themeColor="background1" w:themeShade="80"/>
        <w:sz w:val="16"/>
      </w:rPr>
      <w:t>5</w:t>
    </w:r>
    <w:r>
      <w:rPr>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CF009" w14:textId="77777777" w:rsidR="000C2706" w:rsidRDefault="000C2706" w:rsidP="00A915BC">
      <w:pPr>
        <w:spacing w:after="0" w:line="240" w:lineRule="auto"/>
      </w:pPr>
      <w:r>
        <w:separator/>
      </w:r>
    </w:p>
  </w:footnote>
  <w:footnote w:type="continuationSeparator" w:id="0">
    <w:p w14:paraId="1B1FB665" w14:textId="77777777" w:rsidR="000C2706" w:rsidRDefault="000C2706" w:rsidP="00A91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A34"/>
    <w:multiLevelType w:val="multilevel"/>
    <w:tmpl w:val="98767A00"/>
    <w:lvl w:ilvl="0">
      <w:start w:val="1"/>
      <w:numFmt w:val="decimal"/>
      <w:lvlText w:val="%1."/>
      <w:lvlJc w:val="left"/>
      <w:pPr>
        <w:ind w:left="108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A2D2131"/>
    <w:multiLevelType w:val="hybridMultilevel"/>
    <w:tmpl w:val="A9DCFC8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DC1E38"/>
    <w:multiLevelType w:val="multilevel"/>
    <w:tmpl w:val="98767A00"/>
    <w:numStyleLink w:val="Formatvorlage1"/>
  </w:abstractNum>
  <w:abstractNum w:abstractNumId="3" w15:restartNumberingAfterBreak="0">
    <w:nsid w:val="11A527D6"/>
    <w:multiLevelType w:val="multilevel"/>
    <w:tmpl w:val="98767A00"/>
    <w:lvl w:ilvl="0">
      <w:start w:val="1"/>
      <w:numFmt w:val="decimal"/>
      <w:lvlText w:val="%1."/>
      <w:lvlJc w:val="left"/>
      <w:pPr>
        <w:ind w:left="108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2D3A3D4A"/>
    <w:multiLevelType w:val="multilevel"/>
    <w:tmpl w:val="98767A00"/>
    <w:numStyleLink w:val="Formatvorlage1"/>
  </w:abstractNum>
  <w:abstractNum w:abstractNumId="5" w15:restartNumberingAfterBreak="0">
    <w:nsid w:val="2EE252E5"/>
    <w:multiLevelType w:val="hybridMultilevel"/>
    <w:tmpl w:val="19205E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36C7E61"/>
    <w:multiLevelType w:val="multilevel"/>
    <w:tmpl w:val="62B6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300AA6"/>
    <w:multiLevelType w:val="multilevel"/>
    <w:tmpl w:val="C2D28A6E"/>
    <w:lvl w:ilvl="0">
      <w:start w:val="1"/>
      <w:numFmt w:val="decimal"/>
      <w:lvlText w:val="%1."/>
      <w:lvlJc w:val="left"/>
      <w:pPr>
        <w:ind w:left="360" w:hanging="360"/>
      </w:pPr>
      <w:rPr>
        <w:rFonts w:hint="default"/>
      </w:rPr>
    </w:lvl>
    <w:lvl w:ilvl="1">
      <w:start w:val="1"/>
      <w:numFmt w:val="decimal"/>
      <w:pStyle w:val="berschrift2"/>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194617"/>
    <w:multiLevelType w:val="hybridMultilevel"/>
    <w:tmpl w:val="03F661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07B002C"/>
    <w:multiLevelType w:val="multilevel"/>
    <w:tmpl w:val="98767A00"/>
    <w:styleLink w:val="Formatvorlage1"/>
    <w:lvl w:ilvl="0">
      <w:start w:val="1"/>
      <w:numFmt w:val="decimal"/>
      <w:lvlText w:val="%1."/>
      <w:lvlJc w:val="left"/>
      <w:pPr>
        <w:ind w:left="108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46EE62F1"/>
    <w:multiLevelType w:val="multilevel"/>
    <w:tmpl w:val="FAEE3316"/>
    <w:lvl w:ilvl="0">
      <w:start w:val="1"/>
      <w:numFmt w:val="decimal"/>
      <w:pStyle w:val="berschrift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067C10"/>
    <w:multiLevelType w:val="multilevel"/>
    <w:tmpl w:val="8460E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953C0E"/>
    <w:multiLevelType w:val="hybridMultilevel"/>
    <w:tmpl w:val="26ACDE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0D3007A"/>
    <w:multiLevelType w:val="multilevel"/>
    <w:tmpl w:val="98767A00"/>
    <w:lvl w:ilvl="0">
      <w:start w:val="1"/>
      <w:numFmt w:val="decimal"/>
      <w:lvlText w:val="%1."/>
      <w:lvlJc w:val="left"/>
      <w:pPr>
        <w:ind w:left="108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511C69BE"/>
    <w:multiLevelType w:val="multilevel"/>
    <w:tmpl w:val="F18C1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2A08B1"/>
    <w:multiLevelType w:val="hybridMultilevel"/>
    <w:tmpl w:val="30AEFE1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B267C7D"/>
    <w:multiLevelType w:val="multilevel"/>
    <w:tmpl w:val="2F14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85331C"/>
    <w:multiLevelType w:val="multilevel"/>
    <w:tmpl w:val="98767A00"/>
    <w:numStyleLink w:val="Formatvorlage1"/>
  </w:abstractNum>
  <w:abstractNum w:abstractNumId="18" w15:restartNumberingAfterBreak="0">
    <w:nsid w:val="5D4A1712"/>
    <w:multiLevelType w:val="multilevel"/>
    <w:tmpl w:val="98767A00"/>
    <w:numStyleLink w:val="Formatvorlage1"/>
  </w:abstractNum>
  <w:abstractNum w:abstractNumId="19" w15:restartNumberingAfterBreak="0">
    <w:nsid w:val="60E61C38"/>
    <w:multiLevelType w:val="multilevel"/>
    <w:tmpl w:val="98767A00"/>
    <w:numStyleLink w:val="Formatvorlage1"/>
  </w:abstractNum>
  <w:abstractNum w:abstractNumId="20" w15:restartNumberingAfterBreak="0">
    <w:nsid w:val="774440BE"/>
    <w:multiLevelType w:val="hybridMultilevel"/>
    <w:tmpl w:val="1A14E2D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A8756B9"/>
    <w:multiLevelType w:val="multilevel"/>
    <w:tmpl w:val="877637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B193DDB"/>
    <w:multiLevelType w:val="multilevel"/>
    <w:tmpl w:val="67AA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1007F1"/>
    <w:multiLevelType w:val="hybridMultilevel"/>
    <w:tmpl w:val="D586F068"/>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abstractNumId w:val="22"/>
  </w:num>
  <w:num w:numId="2">
    <w:abstractNumId w:val="6"/>
  </w:num>
  <w:num w:numId="3">
    <w:abstractNumId w:val="14"/>
  </w:num>
  <w:num w:numId="4">
    <w:abstractNumId w:val="11"/>
  </w:num>
  <w:num w:numId="5">
    <w:abstractNumId w:val="16"/>
  </w:num>
  <w:num w:numId="6">
    <w:abstractNumId w:val="5"/>
  </w:num>
  <w:num w:numId="7">
    <w:abstractNumId w:val="1"/>
  </w:num>
  <w:num w:numId="8">
    <w:abstractNumId w:val="23"/>
  </w:num>
  <w:num w:numId="9">
    <w:abstractNumId w:val="8"/>
  </w:num>
  <w:num w:numId="10">
    <w:abstractNumId w:val="12"/>
  </w:num>
  <w:num w:numId="11">
    <w:abstractNumId w:val="20"/>
  </w:num>
  <w:num w:numId="12">
    <w:abstractNumId w:val="15"/>
  </w:num>
  <w:num w:numId="13">
    <w:abstractNumId w:val="10"/>
  </w:num>
  <w:num w:numId="14">
    <w:abstractNumId w:val="7"/>
  </w:num>
  <w:num w:numId="15">
    <w:abstractNumId w:val="21"/>
  </w:num>
  <w:num w:numId="16">
    <w:abstractNumId w:val="9"/>
  </w:num>
  <w:num w:numId="17">
    <w:abstractNumId w:val="17"/>
  </w:num>
  <w:num w:numId="18">
    <w:abstractNumId w:val="4"/>
  </w:num>
  <w:num w:numId="19">
    <w:abstractNumId w:val="19"/>
  </w:num>
  <w:num w:numId="20">
    <w:abstractNumId w:val="2"/>
  </w:num>
  <w:num w:numId="21">
    <w:abstractNumId w:val="18"/>
  </w:num>
  <w:num w:numId="22">
    <w:abstractNumId w:val="13"/>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9C"/>
    <w:rsid w:val="00065D72"/>
    <w:rsid w:val="000C2706"/>
    <w:rsid w:val="00155706"/>
    <w:rsid w:val="001726B1"/>
    <w:rsid w:val="001D72EC"/>
    <w:rsid w:val="001E1859"/>
    <w:rsid w:val="002021DF"/>
    <w:rsid w:val="0021513B"/>
    <w:rsid w:val="002A729A"/>
    <w:rsid w:val="002E66AD"/>
    <w:rsid w:val="002F6243"/>
    <w:rsid w:val="00325E5D"/>
    <w:rsid w:val="00346A50"/>
    <w:rsid w:val="003B3A93"/>
    <w:rsid w:val="003B46C4"/>
    <w:rsid w:val="003D3BC6"/>
    <w:rsid w:val="004417A3"/>
    <w:rsid w:val="004419E9"/>
    <w:rsid w:val="004C3481"/>
    <w:rsid w:val="004F44DC"/>
    <w:rsid w:val="00506218"/>
    <w:rsid w:val="0052683F"/>
    <w:rsid w:val="0058459C"/>
    <w:rsid w:val="00590993"/>
    <w:rsid w:val="0061311D"/>
    <w:rsid w:val="006426D5"/>
    <w:rsid w:val="00644FD1"/>
    <w:rsid w:val="00652201"/>
    <w:rsid w:val="00663DB5"/>
    <w:rsid w:val="00680E24"/>
    <w:rsid w:val="00681341"/>
    <w:rsid w:val="00694A2C"/>
    <w:rsid w:val="006C6D40"/>
    <w:rsid w:val="007104CD"/>
    <w:rsid w:val="007105DD"/>
    <w:rsid w:val="007469E5"/>
    <w:rsid w:val="00793651"/>
    <w:rsid w:val="007A4CB7"/>
    <w:rsid w:val="007E7EB5"/>
    <w:rsid w:val="007F5957"/>
    <w:rsid w:val="00811FB2"/>
    <w:rsid w:val="0081772D"/>
    <w:rsid w:val="00830BAE"/>
    <w:rsid w:val="008408FC"/>
    <w:rsid w:val="008429BA"/>
    <w:rsid w:val="008D364A"/>
    <w:rsid w:val="009248E3"/>
    <w:rsid w:val="00933010"/>
    <w:rsid w:val="00992606"/>
    <w:rsid w:val="00997FB4"/>
    <w:rsid w:val="009A6236"/>
    <w:rsid w:val="009D4D5A"/>
    <w:rsid w:val="009F3270"/>
    <w:rsid w:val="00A14C02"/>
    <w:rsid w:val="00A15838"/>
    <w:rsid w:val="00A326C8"/>
    <w:rsid w:val="00A35771"/>
    <w:rsid w:val="00A459A1"/>
    <w:rsid w:val="00A460A4"/>
    <w:rsid w:val="00A915BC"/>
    <w:rsid w:val="00AB64EF"/>
    <w:rsid w:val="00BC07B3"/>
    <w:rsid w:val="00C71885"/>
    <w:rsid w:val="00CB05DA"/>
    <w:rsid w:val="00CB4161"/>
    <w:rsid w:val="00D052DA"/>
    <w:rsid w:val="00D17F59"/>
    <w:rsid w:val="00D5412F"/>
    <w:rsid w:val="00DC6055"/>
    <w:rsid w:val="00DF3C15"/>
    <w:rsid w:val="00E9463E"/>
    <w:rsid w:val="00EA16C2"/>
    <w:rsid w:val="00EC6184"/>
    <w:rsid w:val="00F02882"/>
    <w:rsid w:val="00F5075C"/>
    <w:rsid w:val="00FA4BA5"/>
    <w:rsid w:val="00FB4779"/>
    <w:rsid w:val="00FE26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A04253"/>
  <w15:chartTrackingRefBased/>
  <w15:docId w15:val="{514A0960-2B14-4CA6-9481-6E486191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21DF"/>
  </w:style>
  <w:style w:type="paragraph" w:styleId="berschrift1">
    <w:name w:val="heading 1"/>
    <w:basedOn w:val="Listenabsatz"/>
    <w:next w:val="Standard"/>
    <w:link w:val="berschrift1Zchn"/>
    <w:uiPriority w:val="9"/>
    <w:qFormat/>
    <w:rsid w:val="007105DD"/>
    <w:pPr>
      <w:numPr>
        <w:numId w:val="13"/>
      </w:numPr>
      <w:spacing w:before="480" w:after="240" w:line="276" w:lineRule="auto"/>
      <w:ind w:left="357" w:hanging="357"/>
      <w:contextualSpacing w:val="0"/>
      <w:outlineLvl w:val="0"/>
    </w:pPr>
    <w:rPr>
      <w:color w:val="A6A6A6" w:themeColor="background1" w:themeShade="A6"/>
      <w:sz w:val="28"/>
      <w:szCs w:val="28"/>
    </w:rPr>
  </w:style>
  <w:style w:type="paragraph" w:styleId="berschrift2">
    <w:name w:val="heading 2"/>
    <w:basedOn w:val="Listenabsatz"/>
    <w:next w:val="Standard"/>
    <w:link w:val="berschrift2Zchn"/>
    <w:uiPriority w:val="9"/>
    <w:unhideWhenUsed/>
    <w:qFormat/>
    <w:rsid w:val="00A459A1"/>
    <w:pPr>
      <w:keepNext/>
      <w:numPr>
        <w:ilvl w:val="1"/>
        <w:numId w:val="14"/>
      </w:numPr>
      <w:spacing w:before="480" w:after="240" w:line="276" w:lineRule="auto"/>
      <w:contextualSpacing w:val="0"/>
      <w:outlineLvl w:val="1"/>
    </w:pPr>
    <w:rPr>
      <w:color w:val="A6A6A6" w:themeColor="background1" w:themeShade="A6"/>
      <w:sz w:val="28"/>
      <w:szCs w:val="28"/>
    </w:rPr>
  </w:style>
  <w:style w:type="paragraph" w:styleId="berschrift3">
    <w:name w:val="heading 3"/>
    <w:basedOn w:val="Standard"/>
    <w:link w:val="berschrift3Zchn"/>
    <w:uiPriority w:val="9"/>
    <w:qFormat/>
    <w:rsid w:val="0058459C"/>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paragraph" w:styleId="berschrift4">
    <w:name w:val="heading 4"/>
    <w:basedOn w:val="Standard"/>
    <w:link w:val="berschrift4Zchn"/>
    <w:uiPriority w:val="9"/>
    <w:qFormat/>
    <w:rsid w:val="0058459C"/>
    <w:pPr>
      <w:spacing w:before="100" w:beforeAutospacing="1" w:after="100" w:afterAutospacing="1" w:line="240" w:lineRule="auto"/>
      <w:outlineLvl w:val="3"/>
    </w:pPr>
    <w:rPr>
      <w:rFonts w:ascii="Times New Roman" w:eastAsia="Times New Roman" w:hAnsi="Times New Roman" w:cs="Times New Roman"/>
      <w:b/>
      <w:bCs/>
      <w:sz w:val="24"/>
      <w:szCs w:val="24"/>
      <w:lang w:eastAsia="de-AT"/>
    </w:rPr>
  </w:style>
  <w:style w:type="paragraph" w:styleId="berschrift5">
    <w:name w:val="heading 5"/>
    <w:basedOn w:val="Standard"/>
    <w:next w:val="Standard"/>
    <w:link w:val="berschrift5Zchn"/>
    <w:uiPriority w:val="9"/>
    <w:unhideWhenUsed/>
    <w:qFormat/>
    <w:rsid w:val="00BC07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8459C"/>
    <w:rPr>
      <w:rFonts w:ascii="Times New Roman" w:eastAsia="Times New Roman" w:hAnsi="Times New Roman" w:cs="Times New Roman"/>
      <w:b/>
      <w:bCs/>
      <w:sz w:val="27"/>
      <w:szCs w:val="27"/>
      <w:lang w:eastAsia="de-AT"/>
    </w:rPr>
  </w:style>
  <w:style w:type="character" w:customStyle="1" w:styleId="berschrift4Zchn">
    <w:name w:val="Überschrift 4 Zchn"/>
    <w:basedOn w:val="Absatz-Standardschriftart"/>
    <w:link w:val="berschrift4"/>
    <w:uiPriority w:val="9"/>
    <w:rsid w:val="0058459C"/>
    <w:rPr>
      <w:rFonts w:ascii="Times New Roman" w:eastAsia="Times New Roman" w:hAnsi="Times New Roman" w:cs="Times New Roman"/>
      <w:b/>
      <w:bCs/>
      <w:sz w:val="24"/>
      <w:szCs w:val="24"/>
      <w:lang w:eastAsia="de-AT"/>
    </w:rPr>
  </w:style>
  <w:style w:type="character" w:customStyle="1" w:styleId="small">
    <w:name w:val="small"/>
    <w:basedOn w:val="Absatz-Standardschriftart"/>
    <w:rsid w:val="0058459C"/>
  </w:style>
  <w:style w:type="paragraph" w:styleId="StandardWeb">
    <w:name w:val="Normal (Web)"/>
    <w:basedOn w:val="Standard"/>
    <w:uiPriority w:val="99"/>
    <w:semiHidden/>
    <w:unhideWhenUsed/>
    <w:rsid w:val="0058459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58459C"/>
    <w:rPr>
      <w:b/>
      <w:bCs/>
    </w:rPr>
  </w:style>
  <w:style w:type="paragraph" w:customStyle="1" w:styleId="text-right">
    <w:name w:val="text-right"/>
    <w:basedOn w:val="Standard"/>
    <w:rsid w:val="0058459C"/>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680E2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0E24"/>
    <w:rPr>
      <w:rFonts w:ascii="Segoe UI" w:hAnsi="Segoe UI" w:cs="Segoe UI"/>
      <w:sz w:val="18"/>
      <w:szCs w:val="18"/>
    </w:rPr>
  </w:style>
  <w:style w:type="character" w:styleId="Kommentarzeichen">
    <w:name w:val="annotation reference"/>
    <w:basedOn w:val="Absatz-Standardschriftart"/>
    <w:uiPriority w:val="99"/>
    <w:semiHidden/>
    <w:unhideWhenUsed/>
    <w:rsid w:val="00992606"/>
    <w:rPr>
      <w:sz w:val="16"/>
      <w:szCs w:val="16"/>
    </w:rPr>
  </w:style>
  <w:style w:type="paragraph" w:styleId="Kommentartext">
    <w:name w:val="annotation text"/>
    <w:basedOn w:val="Standard"/>
    <w:link w:val="KommentartextZchn"/>
    <w:uiPriority w:val="99"/>
    <w:semiHidden/>
    <w:unhideWhenUsed/>
    <w:rsid w:val="009926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92606"/>
    <w:rPr>
      <w:sz w:val="20"/>
      <w:szCs w:val="20"/>
    </w:rPr>
  </w:style>
  <w:style w:type="paragraph" w:styleId="Kommentarthema">
    <w:name w:val="annotation subject"/>
    <w:basedOn w:val="Kommentartext"/>
    <w:next w:val="Kommentartext"/>
    <w:link w:val="KommentarthemaZchn"/>
    <w:uiPriority w:val="99"/>
    <w:semiHidden/>
    <w:unhideWhenUsed/>
    <w:rsid w:val="00992606"/>
    <w:rPr>
      <w:b/>
      <w:bCs/>
    </w:rPr>
  </w:style>
  <w:style w:type="character" w:customStyle="1" w:styleId="KommentarthemaZchn">
    <w:name w:val="Kommentarthema Zchn"/>
    <w:basedOn w:val="KommentartextZchn"/>
    <w:link w:val="Kommentarthema"/>
    <w:uiPriority w:val="99"/>
    <w:semiHidden/>
    <w:rsid w:val="00992606"/>
    <w:rPr>
      <w:b/>
      <w:bCs/>
      <w:sz w:val="20"/>
      <w:szCs w:val="20"/>
    </w:rPr>
  </w:style>
  <w:style w:type="character" w:customStyle="1" w:styleId="berschrift5Zchn">
    <w:name w:val="Überschrift 5 Zchn"/>
    <w:basedOn w:val="Absatz-Standardschriftart"/>
    <w:link w:val="berschrift5"/>
    <w:uiPriority w:val="9"/>
    <w:rsid w:val="00BC07B3"/>
    <w:rPr>
      <w:rFonts w:asciiTheme="majorHAnsi" w:eastAsiaTheme="majorEastAsia" w:hAnsiTheme="majorHAnsi" w:cstheme="majorBidi"/>
      <w:color w:val="2F5496" w:themeColor="accent1" w:themeShade="BF"/>
    </w:rPr>
  </w:style>
  <w:style w:type="character" w:customStyle="1" w:styleId="sr-only">
    <w:name w:val="sr-only"/>
    <w:basedOn w:val="Absatz-Standardschriftart"/>
    <w:rsid w:val="00BC07B3"/>
  </w:style>
  <w:style w:type="character" w:customStyle="1" w:styleId="absatzzahl">
    <w:name w:val="absatzzahl"/>
    <w:basedOn w:val="Absatz-Standardschriftart"/>
    <w:rsid w:val="00BC07B3"/>
  </w:style>
  <w:style w:type="paragraph" w:styleId="Listenabsatz">
    <w:name w:val="List Paragraph"/>
    <w:basedOn w:val="Standard"/>
    <w:uiPriority w:val="34"/>
    <w:qFormat/>
    <w:rsid w:val="00FE2600"/>
    <w:pPr>
      <w:ind w:left="720"/>
      <w:contextualSpacing/>
    </w:pPr>
  </w:style>
  <w:style w:type="paragraph" w:styleId="Verzeichnis3">
    <w:name w:val="toc 3"/>
    <w:basedOn w:val="Standard"/>
    <w:next w:val="Standard"/>
    <w:autoRedefine/>
    <w:uiPriority w:val="39"/>
    <w:unhideWhenUsed/>
    <w:rsid w:val="003B46C4"/>
    <w:pPr>
      <w:spacing w:after="100"/>
      <w:ind w:left="440"/>
    </w:pPr>
  </w:style>
  <w:style w:type="character" w:styleId="Hyperlink">
    <w:name w:val="Hyperlink"/>
    <w:basedOn w:val="Absatz-Standardschriftart"/>
    <w:uiPriority w:val="99"/>
    <w:unhideWhenUsed/>
    <w:rsid w:val="003B46C4"/>
    <w:rPr>
      <w:color w:val="0563C1" w:themeColor="hyperlink"/>
      <w:u w:val="single"/>
    </w:rPr>
  </w:style>
  <w:style w:type="character" w:customStyle="1" w:styleId="berschrift1Zchn">
    <w:name w:val="Überschrift 1 Zchn"/>
    <w:basedOn w:val="Absatz-Standardschriftart"/>
    <w:link w:val="berschrift1"/>
    <w:uiPriority w:val="9"/>
    <w:rsid w:val="007105DD"/>
    <w:rPr>
      <w:color w:val="A6A6A6" w:themeColor="background1" w:themeShade="A6"/>
      <w:sz w:val="28"/>
      <w:szCs w:val="28"/>
    </w:rPr>
  </w:style>
  <w:style w:type="paragraph" w:styleId="Inhaltsverzeichnisberschrift">
    <w:name w:val="TOC Heading"/>
    <w:basedOn w:val="berschrift1"/>
    <w:next w:val="Standard"/>
    <w:uiPriority w:val="39"/>
    <w:unhideWhenUsed/>
    <w:qFormat/>
    <w:rsid w:val="003B46C4"/>
    <w:pPr>
      <w:outlineLvl w:val="9"/>
    </w:pPr>
    <w:rPr>
      <w:lang w:eastAsia="de-AT"/>
    </w:rPr>
  </w:style>
  <w:style w:type="paragraph" w:styleId="Kopfzeile">
    <w:name w:val="header"/>
    <w:basedOn w:val="Standard"/>
    <w:link w:val="KopfzeileZchn"/>
    <w:uiPriority w:val="99"/>
    <w:unhideWhenUsed/>
    <w:rsid w:val="00A915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15BC"/>
  </w:style>
  <w:style w:type="paragraph" w:styleId="Fuzeile">
    <w:name w:val="footer"/>
    <w:basedOn w:val="Standard"/>
    <w:link w:val="FuzeileZchn"/>
    <w:uiPriority w:val="99"/>
    <w:unhideWhenUsed/>
    <w:rsid w:val="00A915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15BC"/>
  </w:style>
  <w:style w:type="paragraph" w:styleId="berarbeitung">
    <w:name w:val="Revision"/>
    <w:hidden/>
    <w:uiPriority w:val="99"/>
    <w:semiHidden/>
    <w:rsid w:val="006C6D40"/>
    <w:pPr>
      <w:spacing w:after="0" w:line="240" w:lineRule="auto"/>
    </w:pPr>
  </w:style>
  <w:style w:type="paragraph" w:styleId="Titel">
    <w:name w:val="Title"/>
    <w:basedOn w:val="Standard"/>
    <w:next w:val="Standard"/>
    <w:link w:val="TitelZchn"/>
    <w:uiPriority w:val="10"/>
    <w:qFormat/>
    <w:rsid w:val="001D72EC"/>
    <w:pPr>
      <w:spacing w:after="0" w:line="276" w:lineRule="auto"/>
      <w:jc w:val="center"/>
    </w:pPr>
    <w:rPr>
      <w:b/>
      <w:color w:val="A6A6A6" w:themeColor="background1" w:themeShade="A6"/>
      <w:sz w:val="36"/>
      <w:szCs w:val="36"/>
    </w:rPr>
  </w:style>
  <w:style w:type="character" w:customStyle="1" w:styleId="TitelZchn">
    <w:name w:val="Titel Zchn"/>
    <w:basedOn w:val="Absatz-Standardschriftart"/>
    <w:link w:val="Titel"/>
    <w:uiPriority w:val="10"/>
    <w:rsid w:val="001D72EC"/>
    <w:rPr>
      <w:b/>
      <w:color w:val="A6A6A6" w:themeColor="background1" w:themeShade="A6"/>
      <w:sz w:val="36"/>
      <w:szCs w:val="36"/>
    </w:rPr>
  </w:style>
  <w:style w:type="character" w:customStyle="1" w:styleId="berschrift2Zchn">
    <w:name w:val="Überschrift 2 Zchn"/>
    <w:basedOn w:val="Absatz-Standardschriftart"/>
    <w:link w:val="berschrift2"/>
    <w:uiPriority w:val="9"/>
    <w:rsid w:val="00A459A1"/>
    <w:rPr>
      <w:color w:val="A6A6A6" w:themeColor="background1" w:themeShade="A6"/>
      <w:sz w:val="28"/>
      <w:szCs w:val="28"/>
    </w:rPr>
  </w:style>
  <w:style w:type="numbering" w:customStyle="1" w:styleId="Formatvorlage1">
    <w:name w:val="Formatvorlage1"/>
    <w:uiPriority w:val="99"/>
    <w:rsid w:val="00D5412F"/>
    <w:pPr>
      <w:numPr>
        <w:numId w:val="16"/>
      </w:numPr>
    </w:pPr>
  </w:style>
  <w:style w:type="paragraph" w:styleId="Zitat">
    <w:name w:val="Quote"/>
    <w:aliases w:val="Zitat UG"/>
    <w:basedOn w:val="Standard"/>
    <w:next w:val="Standard"/>
    <w:link w:val="ZitatZchn"/>
    <w:uiPriority w:val="29"/>
    <w:qFormat/>
    <w:rsid w:val="00A459A1"/>
    <w:pPr>
      <w:spacing w:after="120" w:line="276" w:lineRule="auto"/>
      <w:jc w:val="both"/>
    </w:pPr>
    <w:rPr>
      <w:i/>
      <w:sz w:val="24"/>
      <w:szCs w:val="24"/>
    </w:rPr>
  </w:style>
  <w:style w:type="character" w:customStyle="1" w:styleId="ZitatZchn">
    <w:name w:val="Zitat Zchn"/>
    <w:aliases w:val="Zitat UG Zchn"/>
    <w:basedOn w:val="Absatz-Standardschriftart"/>
    <w:link w:val="Zitat"/>
    <w:uiPriority w:val="29"/>
    <w:rsid w:val="00A459A1"/>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8162">
      <w:bodyDiv w:val="1"/>
      <w:marLeft w:val="0"/>
      <w:marRight w:val="0"/>
      <w:marTop w:val="0"/>
      <w:marBottom w:val="0"/>
      <w:divBdr>
        <w:top w:val="none" w:sz="0" w:space="0" w:color="auto"/>
        <w:left w:val="none" w:sz="0" w:space="0" w:color="auto"/>
        <w:bottom w:val="none" w:sz="0" w:space="0" w:color="auto"/>
        <w:right w:val="none" w:sz="0" w:space="0" w:color="auto"/>
      </w:divBdr>
      <w:divsChild>
        <w:div w:id="1276405547">
          <w:marLeft w:val="0"/>
          <w:marRight w:val="0"/>
          <w:marTop w:val="0"/>
          <w:marBottom w:val="0"/>
          <w:divBdr>
            <w:top w:val="none" w:sz="0" w:space="0" w:color="auto"/>
            <w:left w:val="none" w:sz="0" w:space="0" w:color="auto"/>
            <w:bottom w:val="none" w:sz="0" w:space="0" w:color="auto"/>
            <w:right w:val="none" w:sz="0" w:space="0" w:color="auto"/>
          </w:divBdr>
          <w:divsChild>
            <w:div w:id="14007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8257">
      <w:bodyDiv w:val="1"/>
      <w:marLeft w:val="0"/>
      <w:marRight w:val="0"/>
      <w:marTop w:val="0"/>
      <w:marBottom w:val="0"/>
      <w:divBdr>
        <w:top w:val="none" w:sz="0" w:space="0" w:color="auto"/>
        <w:left w:val="none" w:sz="0" w:space="0" w:color="auto"/>
        <w:bottom w:val="none" w:sz="0" w:space="0" w:color="auto"/>
        <w:right w:val="none" w:sz="0" w:space="0" w:color="auto"/>
      </w:divBdr>
    </w:div>
    <w:div w:id="598147725">
      <w:bodyDiv w:val="1"/>
      <w:marLeft w:val="0"/>
      <w:marRight w:val="0"/>
      <w:marTop w:val="0"/>
      <w:marBottom w:val="0"/>
      <w:divBdr>
        <w:top w:val="none" w:sz="0" w:space="0" w:color="auto"/>
        <w:left w:val="none" w:sz="0" w:space="0" w:color="auto"/>
        <w:bottom w:val="none" w:sz="0" w:space="0" w:color="auto"/>
        <w:right w:val="none" w:sz="0" w:space="0" w:color="auto"/>
      </w:divBdr>
      <w:divsChild>
        <w:div w:id="1175343211">
          <w:marLeft w:val="-1200"/>
          <w:marRight w:val="0"/>
          <w:marTop w:val="0"/>
          <w:marBottom w:val="0"/>
          <w:divBdr>
            <w:top w:val="none" w:sz="0" w:space="0" w:color="auto"/>
            <w:left w:val="none" w:sz="0" w:space="0" w:color="auto"/>
            <w:bottom w:val="none" w:sz="0" w:space="0" w:color="auto"/>
            <w:right w:val="none" w:sz="0" w:space="0" w:color="auto"/>
          </w:divBdr>
          <w:divsChild>
            <w:div w:id="202132203">
              <w:marLeft w:val="0"/>
              <w:marRight w:val="0"/>
              <w:marTop w:val="30"/>
              <w:marBottom w:val="20"/>
              <w:divBdr>
                <w:top w:val="none" w:sz="0" w:space="0" w:color="auto"/>
                <w:left w:val="none" w:sz="0" w:space="0" w:color="auto"/>
                <w:bottom w:val="none" w:sz="0" w:space="0" w:color="auto"/>
                <w:right w:val="none" w:sz="0" w:space="0" w:color="auto"/>
              </w:divBdr>
            </w:div>
          </w:divsChild>
        </w:div>
        <w:div w:id="1364866851">
          <w:marLeft w:val="0"/>
          <w:marRight w:val="0"/>
          <w:marTop w:val="0"/>
          <w:marBottom w:val="0"/>
          <w:divBdr>
            <w:top w:val="none" w:sz="0" w:space="0" w:color="auto"/>
            <w:left w:val="none" w:sz="0" w:space="0" w:color="auto"/>
            <w:bottom w:val="none" w:sz="0" w:space="0" w:color="auto"/>
            <w:right w:val="none" w:sz="0" w:space="0" w:color="auto"/>
          </w:divBdr>
          <w:divsChild>
            <w:div w:id="718436609">
              <w:marLeft w:val="0"/>
              <w:marRight w:val="0"/>
              <w:marTop w:val="30"/>
              <w:marBottom w:val="20"/>
              <w:divBdr>
                <w:top w:val="none" w:sz="0" w:space="0" w:color="auto"/>
                <w:left w:val="none" w:sz="0" w:space="0" w:color="auto"/>
                <w:bottom w:val="none" w:sz="0" w:space="0" w:color="auto"/>
                <w:right w:val="none" w:sz="0" w:space="0" w:color="auto"/>
              </w:divBdr>
            </w:div>
          </w:divsChild>
        </w:div>
        <w:div w:id="2050374311">
          <w:marLeft w:val="-1200"/>
          <w:marRight w:val="0"/>
          <w:marTop w:val="0"/>
          <w:marBottom w:val="0"/>
          <w:divBdr>
            <w:top w:val="none" w:sz="0" w:space="0" w:color="auto"/>
            <w:left w:val="none" w:sz="0" w:space="0" w:color="auto"/>
            <w:bottom w:val="none" w:sz="0" w:space="0" w:color="auto"/>
            <w:right w:val="none" w:sz="0" w:space="0" w:color="auto"/>
          </w:divBdr>
          <w:divsChild>
            <w:div w:id="1265764873">
              <w:marLeft w:val="0"/>
              <w:marRight w:val="0"/>
              <w:marTop w:val="30"/>
              <w:marBottom w:val="20"/>
              <w:divBdr>
                <w:top w:val="none" w:sz="0" w:space="0" w:color="auto"/>
                <w:left w:val="none" w:sz="0" w:space="0" w:color="auto"/>
                <w:bottom w:val="none" w:sz="0" w:space="0" w:color="auto"/>
                <w:right w:val="none" w:sz="0" w:space="0" w:color="auto"/>
              </w:divBdr>
            </w:div>
          </w:divsChild>
        </w:div>
        <w:div w:id="55058045">
          <w:marLeft w:val="0"/>
          <w:marRight w:val="0"/>
          <w:marTop w:val="0"/>
          <w:marBottom w:val="0"/>
          <w:divBdr>
            <w:top w:val="none" w:sz="0" w:space="0" w:color="auto"/>
            <w:left w:val="none" w:sz="0" w:space="0" w:color="auto"/>
            <w:bottom w:val="none" w:sz="0" w:space="0" w:color="auto"/>
            <w:right w:val="none" w:sz="0" w:space="0" w:color="auto"/>
          </w:divBdr>
          <w:divsChild>
            <w:div w:id="752706066">
              <w:marLeft w:val="0"/>
              <w:marRight w:val="0"/>
              <w:marTop w:val="30"/>
              <w:marBottom w:val="20"/>
              <w:divBdr>
                <w:top w:val="none" w:sz="0" w:space="0" w:color="auto"/>
                <w:left w:val="none" w:sz="0" w:space="0" w:color="auto"/>
                <w:bottom w:val="none" w:sz="0" w:space="0" w:color="auto"/>
                <w:right w:val="none" w:sz="0" w:space="0" w:color="auto"/>
              </w:divBdr>
            </w:div>
          </w:divsChild>
        </w:div>
        <w:div w:id="894042882">
          <w:marLeft w:val="-1200"/>
          <w:marRight w:val="0"/>
          <w:marTop w:val="0"/>
          <w:marBottom w:val="0"/>
          <w:divBdr>
            <w:top w:val="none" w:sz="0" w:space="0" w:color="auto"/>
            <w:left w:val="none" w:sz="0" w:space="0" w:color="auto"/>
            <w:bottom w:val="none" w:sz="0" w:space="0" w:color="auto"/>
            <w:right w:val="none" w:sz="0" w:space="0" w:color="auto"/>
          </w:divBdr>
          <w:divsChild>
            <w:div w:id="525100718">
              <w:marLeft w:val="0"/>
              <w:marRight w:val="0"/>
              <w:marTop w:val="30"/>
              <w:marBottom w:val="20"/>
              <w:divBdr>
                <w:top w:val="none" w:sz="0" w:space="0" w:color="auto"/>
                <w:left w:val="none" w:sz="0" w:space="0" w:color="auto"/>
                <w:bottom w:val="none" w:sz="0" w:space="0" w:color="auto"/>
                <w:right w:val="none" w:sz="0" w:space="0" w:color="auto"/>
              </w:divBdr>
            </w:div>
          </w:divsChild>
        </w:div>
        <w:div w:id="296641357">
          <w:marLeft w:val="0"/>
          <w:marRight w:val="0"/>
          <w:marTop w:val="0"/>
          <w:marBottom w:val="0"/>
          <w:divBdr>
            <w:top w:val="none" w:sz="0" w:space="0" w:color="auto"/>
            <w:left w:val="none" w:sz="0" w:space="0" w:color="auto"/>
            <w:bottom w:val="none" w:sz="0" w:space="0" w:color="auto"/>
            <w:right w:val="none" w:sz="0" w:space="0" w:color="auto"/>
          </w:divBdr>
          <w:divsChild>
            <w:div w:id="1590459551">
              <w:marLeft w:val="0"/>
              <w:marRight w:val="0"/>
              <w:marTop w:val="30"/>
              <w:marBottom w:val="20"/>
              <w:divBdr>
                <w:top w:val="none" w:sz="0" w:space="0" w:color="auto"/>
                <w:left w:val="none" w:sz="0" w:space="0" w:color="auto"/>
                <w:bottom w:val="none" w:sz="0" w:space="0" w:color="auto"/>
                <w:right w:val="none" w:sz="0" w:space="0" w:color="auto"/>
              </w:divBdr>
            </w:div>
          </w:divsChild>
        </w:div>
        <w:div w:id="382947907">
          <w:marLeft w:val="-1200"/>
          <w:marRight w:val="0"/>
          <w:marTop w:val="0"/>
          <w:marBottom w:val="0"/>
          <w:divBdr>
            <w:top w:val="none" w:sz="0" w:space="0" w:color="auto"/>
            <w:left w:val="none" w:sz="0" w:space="0" w:color="auto"/>
            <w:bottom w:val="none" w:sz="0" w:space="0" w:color="auto"/>
            <w:right w:val="none" w:sz="0" w:space="0" w:color="auto"/>
          </w:divBdr>
          <w:divsChild>
            <w:div w:id="968783420">
              <w:marLeft w:val="0"/>
              <w:marRight w:val="0"/>
              <w:marTop w:val="30"/>
              <w:marBottom w:val="20"/>
              <w:divBdr>
                <w:top w:val="none" w:sz="0" w:space="0" w:color="auto"/>
                <w:left w:val="none" w:sz="0" w:space="0" w:color="auto"/>
                <w:bottom w:val="none" w:sz="0" w:space="0" w:color="auto"/>
                <w:right w:val="none" w:sz="0" w:space="0" w:color="auto"/>
              </w:divBdr>
            </w:div>
          </w:divsChild>
        </w:div>
        <w:div w:id="1850751067">
          <w:marLeft w:val="0"/>
          <w:marRight w:val="0"/>
          <w:marTop w:val="0"/>
          <w:marBottom w:val="0"/>
          <w:divBdr>
            <w:top w:val="none" w:sz="0" w:space="0" w:color="auto"/>
            <w:left w:val="none" w:sz="0" w:space="0" w:color="auto"/>
            <w:bottom w:val="none" w:sz="0" w:space="0" w:color="auto"/>
            <w:right w:val="none" w:sz="0" w:space="0" w:color="auto"/>
          </w:divBdr>
          <w:divsChild>
            <w:div w:id="1737049202">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1015497765">
      <w:bodyDiv w:val="1"/>
      <w:marLeft w:val="0"/>
      <w:marRight w:val="0"/>
      <w:marTop w:val="0"/>
      <w:marBottom w:val="0"/>
      <w:divBdr>
        <w:top w:val="none" w:sz="0" w:space="0" w:color="auto"/>
        <w:left w:val="none" w:sz="0" w:space="0" w:color="auto"/>
        <w:bottom w:val="none" w:sz="0" w:space="0" w:color="auto"/>
        <w:right w:val="none" w:sz="0" w:space="0" w:color="auto"/>
      </w:divBdr>
      <w:divsChild>
        <w:div w:id="1455060198">
          <w:marLeft w:val="0"/>
          <w:marRight w:val="0"/>
          <w:marTop w:val="0"/>
          <w:marBottom w:val="0"/>
          <w:divBdr>
            <w:top w:val="none" w:sz="0" w:space="0" w:color="auto"/>
            <w:left w:val="none" w:sz="0" w:space="0" w:color="auto"/>
            <w:bottom w:val="none" w:sz="0" w:space="0" w:color="auto"/>
            <w:right w:val="none" w:sz="0" w:space="0" w:color="auto"/>
          </w:divBdr>
          <w:divsChild>
            <w:div w:id="695959351">
              <w:marLeft w:val="0"/>
              <w:marRight w:val="0"/>
              <w:marTop w:val="80"/>
              <w:marBottom w:val="40"/>
              <w:divBdr>
                <w:top w:val="none" w:sz="0" w:space="0" w:color="auto"/>
                <w:left w:val="none" w:sz="0" w:space="0" w:color="auto"/>
                <w:bottom w:val="none" w:sz="0" w:space="0" w:color="auto"/>
                <w:right w:val="none" w:sz="0" w:space="0" w:color="auto"/>
              </w:divBdr>
            </w:div>
            <w:div w:id="1781678064">
              <w:marLeft w:val="-1200"/>
              <w:marRight w:val="0"/>
              <w:marTop w:val="0"/>
              <w:marBottom w:val="0"/>
              <w:divBdr>
                <w:top w:val="none" w:sz="0" w:space="0" w:color="auto"/>
                <w:left w:val="none" w:sz="0" w:space="0" w:color="auto"/>
                <w:bottom w:val="none" w:sz="0" w:space="0" w:color="auto"/>
                <w:right w:val="none" w:sz="0" w:space="0" w:color="auto"/>
              </w:divBdr>
              <w:divsChild>
                <w:div w:id="2115053714">
                  <w:marLeft w:val="0"/>
                  <w:marRight w:val="0"/>
                  <w:marTop w:val="30"/>
                  <w:marBottom w:val="20"/>
                  <w:divBdr>
                    <w:top w:val="none" w:sz="0" w:space="0" w:color="auto"/>
                    <w:left w:val="none" w:sz="0" w:space="0" w:color="auto"/>
                    <w:bottom w:val="none" w:sz="0" w:space="0" w:color="auto"/>
                    <w:right w:val="none" w:sz="0" w:space="0" w:color="auto"/>
                  </w:divBdr>
                </w:div>
              </w:divsChild>
            </w:div>
            <w:div w:id="1977443386">
              <w:marLeft w:val="0"/>
              <w:marRight w:val="0"/>
              <w:marTop w:val="0"/>
              <w:marBottom w:val="0"/>
              <w:divBdr>
                <w:top w:val="none" w:sz="0" w:space="0" w:color="auto"/>
                <w:left w:val="none" w:sz="0" w:space="0" w:color="auto"/>
                <w:bottom w:val="none" w:sz="0" w:space="0" w:color="auto"/>
                <w:right w:val="none" w:sz="0" w:space="0" w:color="auto"/>
              </w:divBdr>
              <w:divsChild>
                <w:div w:id="1698963021">
                  <w:marLeft w:val="0"/>
                  <w:marRight w:val="0"/>
                  <w:marTop w:val="30"/>
                  <w:marBottom w:val="20"/>
                  <w:divBdr>
                    <w:top w:val="none" w:sz="0" w:space="0" w:color="auto"/>
                    <w:left w:val="none" w:sz="0" w:space="0" w:color="auto"/>
                    <w:bottom w:val="none" w:sz="0" w:space="0" w:color="auto"/>
                    <w:right w:val="none" w:sz="0" w:space="0" w:color="auto"/>
                  </w:divBdr>
                </w:div>
              </w:divsChild>
            </w:div>
            <w:div w:id="817504041">
              <w:marLeft w:val="-1200"/>
              <w:marRight w:val="0"/>
              <w:marTop w:val="0"/>
              <w:marBottom w:val="0"/>
              <w:divBdr>
                <w:top w:val="none" w:sz="0" w:space="0" w:color="auto"/>
                <w:left w:val="none" w:sz="0" w:space="0" w:color="auto"/>
                <w:bottom w:val="none" w:sz="0" w:space="0" w:color="auto"/>
                <w:right w:val="none" w:sz="0" w:space="0" w:color="auto"/>
              </w:divBdr>
              <w:divsChild>
                <w:div w:id="503394659">
                  <w:marLeft w:val="0"/>
                  <w:marRight w:val="0"/>
                  <w:marTop w:val="30"/>
                  <w:marBottom w:val="20"/>
                  <w:divBdr>
                    <w:top w:val="none" w:sz="0" w:space="0" w:color="auto"/>
                    <w:left w:val="none" w:sz="0" w:space="0" w:color="auto"/>
                    <w:bottom w:val="none" w:sz="0" w:space="0" w:color="auto"/>
                    <w:right w:val="none" w:sz="0" w:space="0" w:color="auto"/>
                  </w:divBdr>
                </w:div>
              </w:divsChild>
            </w:div>
            <w:div w:id="479421409">
              <w:marLeft w:val="0"/>
              <w:marRight w:val="0"/>
              <w:marTop w:val="0"/>
              <w:marBottom w:val="0"/>
              <w:divBdr>
                <w:top w:val="none" w:sz="0" w:space="0" w:color="auto"/>
                <w:left w:val="none" w:sz="0" w:space="0" w:color="auto"/>
                <w:bottom w:val="none" w:sz="0" w:space="0" w:color="auto"/>
                <w:right w:val="none" w:sz="0" w:space="0" w:color="auto"/>
              </w:divBdr>
              <w:divsChild>
                <w:div w:id="2090734384">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sChild>
    </w:div>
    <w:div w:id="13444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85F5234360764684CD14B8BC6C1826" ma:contentTypeVersion="5" ma:contentTypeDescription="Ein neues Dokument erstellen." ma:contentTypeScope="" ma:versionID="66d297dc336fa047a2fba934a6b594c1">
  <xsd:schema xmlns:xsd="http://www.w3.org/2001/XMLSchema" xmlns:xs="http://www.w3.org/2001/XMLSchema" xmlns:p="http://schemas.microsoft.com/office/2006/metadata/properties" xmlns:ns2="f4ba2e85-1fbb-49ce-b086-05b925de14dd" xmlns:ns3="64cc445d-09fa-49ef-982f-01a2a28e2ea8" targetNamespace="http://schemas.microsoft.com/office/2006/metadata/properties" ma:root="true" ma:fieldsID="109dac56ada7a45ebee2fa0d770033f4" ns2:_="" ns3:_="">
    <xsd:import namespace="f4ba2e85-1fbb-49ce-b086-05b925de14dd"/>
    <xsd:import namespace="64cc445d-09fa-49ef-982f-01a2a28e2ea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a2e85-1fbb-49ce-b086-05b925de14d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cc445d-09fa-49ef-982f-01a2a28e2ea8"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4ba2e85-1fbb-49ce-b086-05b925de14dd">RRTUXYE5V5TM-2092824077-8566</_dlc_DocId>
    <_dlc_DocIdUrl xmlns="f4ba2e85-1fbb-49ce-b086-05b925de14dd">
      <Url>https://sp.uibk.ac.at/vizerektorat/ls/vrls/_layouts/15/DocIdRedir.aspx?ID=RRTUXYE5V5TM-2092824077-8566</Url>
      <Description>RRTUXYE5V5TM-2092824077-8566</Description>
    </_dlc_DocIdUrl>
  </documentManagement>
</p:properties>
</file>

<file path=customXml/itemProps1.xml><?xml version="1.0" encoding="utf-8"?>
<ds:datastoreItem xmlns:ds="http://schemas.openxmlformats.org/officeDocument/2006/customXml" ds:itemID="{4E60AED1-9D12-4E38-B20D-31183578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a2e85-1fbb-49ce-b086-05b925de14dd"/>
    <ds:schemaRef ds:uri="64cc445d-09fa-49ef-982f-01a2a28e2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D181C-5122-4A17-A4F6-26C8032E126E}">
  <ds:schemaRefs>
    <ds:schemaRef ds:uri="http://schemas.microsoft.com/sharepoint/events"/>
  </ds:schemaRefs>
</ds:datastoreItem>
</file>

<file path=customXml/itemProps3.xml><?xml version="1.0" encoding="utf-8"?>
<ds:datastoreItem xmlns:ds="http://schemas.openxmlformats.org/officeDocument/2006/customXml" ds:itemID="{0D5E9DB5-F1FD-422E-B6E7-E3034943F5E3}">
  <ds:schemaRefs>
    <ds:schemaRef ds:uri="http://schemas.microsoft.com/sharepoint/v3/contenttype/forms"/>
  </ds:schemaRefs>
</ds:datastoreItem>
</file>

<file path=customXml/itemProps4.xml><?xml version="1.0" encoding="utf-8"?>
<ds:datastoreItem xmlns:ds="http://schemas.openxmlformats.org/officeDocument/2006/customXml" ds:itemID="{DF06DF49-3B05-4D14-B0C9-0315753C37C8}">
  <ds:schemaRefs>
    <ds:schemaRef ds:uri="http://purl.org/dc/dcmitype/"/>
    <ds:schemaRef ds:uri="http://purl.org/dc/elements/1.1/"/>
    <ds:schemaRef ds:uri="http://schemas.microsoft.com/office/2006/metadata/properties"/>
    <ds:schemaRef ds:uri="f4ba2e85-1fbb-49ce-b086-05b925de14d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4cc445d-09fa-49ef-982f-01a2a28e2e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9083</Characters>
  <Application>Microsoft Office Word</Application>
  <DocSecurity>4</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Jäger, Daniela Gertrude</dc:creator>
  <cp:keywords/>
  <dc:description/>
  <cp:lastModifiedBy>Gegenburger, Bianca</cp:lastModifiedBy>
  <cp:revision>2</cp:revision>
  <dcterms:created xsi:type="dcterms:W3CDTF">2024-08-20T07:40:00Z</dcterms:created>
  <dcterms:modified xsi:type="dcterms:W3CDTF">2024-08-20T07:40:00Z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0x0101004785F5234360764684CD14B8BC6C1826</vt:lpwstr>
  </property>
  <property fmtid="{D5CDD505-2E9C-101B-9397-08002B2CF9AE}" pid="3" name="_dlc_DocIdItemGuid">
    <vt:lpwstr>f62dfc68-a809-4c4a-bd78-3ab914d60f24</vt:lpwstr>
  </property>
</Properties>
</file>